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CE" w:rsidRPr="0019464C" w:rsidRDefault="006D6ECE" w:rsidP="006D6ECE">
      <w:pPr>
        <w:ind w:left="567"/>
        <w:jc w:val="right"/>
        <w:rPr>
          <w:b/>
          <w:shd w:val="clear" w:color="auto" w:fill="FFFFFF"/>
        </w:rPr>
      </w:pPr>
      <w:r w:rsidRPr="0019464C">
        <w:rPr>
          <w:b/>
          <w:shd w:val="clear" w:color="auto" w:fill="FFFFFF"/>
        </w:rPr>
        <w:t>(Ф 21.01 - 03)</w:t>
      </w: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2235"/>
        <w:gridCol w:w="4853"/>
      </w:tblGrid>
      <w:tr w:rsidR="006D6ECE" w:rsidRPr="0019464C" w:rsidTr="00A702CD">
        <w:trPr>
          <w:trHeight w:val="2131"/>
        </w:trPr>
        <w:tc>
          <w:tcPr>
            <w:tcW w:w="2869" w:type="dxa"/>
            <w:tcBorders>
              <w:top w:val="nil"/>
              <w:left w:val="nil"/>
            </w:tcBorders>
          </w:tcPr>
          <w:p w:rsidR="006D6ECE" w:rsidRPr="0019464C" w:rsidRDefault="006D6ECE" w:rsidP="009E70C5">
            <w:pPr>
              <w:rPr>
                <w:b/>
                <w:color w:val="000000"/>
                <w:sz w:val="16"/>
                <w:szCs w:val="16"/>
                <w:shd w:val="clear" w:color="auto" w:fill="FFFFFF"/>
              </w:rPr>
            </w:pPr>
            <w:r w:rsidRPr="0019464C">
              <w:rPr>
                <w:noProof/>
                <w:lang w:eastAsia="uk-UA"/>
              </w:rPr>
              <w:drawing>
                <wp:anchor distT="0" distB="0" distL="114300" distR="114300" simplePos="0" relativeHeight="251659264" behindDoc="1" locked="0" layoutInCell="1" allowOverlap="1">
                  <wp:simplePos x="0" y="0"/>
                  <wp:positionH relativeFrom="column">
                    <wp:posOffset>8255</wp:posOffset>
                  </wp:positionH>
                  <wp:positionV relativeFrom="paragraph">
                    <wp:posOffset>67945</wp:posOffset>
                  </wp:positionV>
                  <wp:extent cx="1572260" cy="1442720"/>
                  <wp:effectExtent l="0" t="0" r="8890" b="5080"/>
                  <wp:wrapTight wrapText="bothSides">
                    <wp:wrapPolygon edited="0">
                      <wp:start x="0" y="0"/>
                      <wp:lineTo x="0" y="21391"/>
                      <wp:lineTo x="21460" y="21391"/>
                      <wp:lineTo x="21460" y="0"/>
                      <wp:lineTo x="0" y="0"/>
                    </wp:wrapPolygon>
                  </wp:wrapTight>
                  <wp:docPr id="2" name="Рисунок 2"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gridSpan w:val="2"/>
            <w:shd w:val="clear" w:color="auto" w:fill="FFFFFF"/>
            <w:vAlign w:val="center"/>
          </w:tcPr>
          <w:p w:rsidR="006D6ECE" w:rsidRPr="0019464C" w:rsidRDefault="006D6ECE" w:rsidP="009E70C5">
            <w:pPr>
              <w:jc w:val="center"/>
              <w:rPr>
                <w:b/>
                <w:shd w:val="clear" w:color="auto" w:fill="FFFFFF"/>
              </w:rPr>
            </w:pPr>
            <w:r w:rsidRPr="0019464C">
              <w:rPr>
                <w:b/>
                <w:shd w:val="clear" w:color="auto" w:fill="FFFFFF"/>
              </w:rPr>
              <w:t>Силабус навчальної дисципліни</w:t>
            </w:r>
          </w:p>
          <w:p w:rsidR="006D6ECE" w:rsidRPr="00D76CA5" w:rsidRDefault="006D6ECE" w:rsidP="009E70C5">
            <w:pPr>
              <w:jc w:val="center"/>
              <w:rPr>
                <w:b/>
                <w:sz w:val="28"/>
                <w:szCs w:val="28"/>
                <w:shd w:val="clear" w:color="auto" w:fill="FFFFFF"/>
              </w:rPr>
            </w:pPr>
            <w:r w:rsidRPr="00D76CA5">
              <w:rPr>
                <w:b/>
                <w:sz w:val="28"/>
                <w:szCs w:val="28"/>
                <w:shd w:val="clear" w:color="auto" w:fill="FFFFFF"/>
              </w:rPr>
              <w:t>«</w:t>
            </w:r>
            <w:r w:rsidR="007242DF" w:rsidRPr="00D76CA5">
              <w:rPr>
                <w:b/>
                <w:bCs/>
                <w:sz w:val="28"/>
                <w:szCs w:val="28"/>
              </w:rPr>
              <w:t>КОСМІЧНА ФОТОГРАММЕТРІЯ</w:t>
            </w:r>
            <w:r w:rsidRPr="00D76CA5">
              <w:rPr>
                <w:b/>
                <w:sz w:val="28"/>
                <w:szCs w:val="28"/>
                <w:shd w:val="clear" w:color="auto" w:fill="FFFFFF"/>
              </w:rPr>
              <w:t>»</w:t>
            </w:r>
          </w:p>
          <w:p w:rsidR="006D6ECE" w:rsidRPr="0019464C" w:rsidRDefault="006D6ECE" w:rsidP="009E70C5">
            <w:pPr>
              <w:jc w:val="center"/>
              <w:rPr>
                <w:b/>
                <w:shd w:val="clear" w:color="auto" w:fill="FFFFFF"/>
              </w:rPr>
            </w:pPr>
          </w:p>
          <w:p w:rsidR="006D6ECE" w:rsidRPr="0019464C" w:rsidRDefault="0055514C" w:rsidP="009E70C5">
            <w:pPr>
              <w:jc w:val="center"/>
              <w:rPr>
                <w:b/>
                <w:shd w:val="clear" w:color="auto" w:fill="FFFFFF"/>
              </w:rPr>
            </w:pPr>
            <w:r>
              <w:rPr>
                <w:b/>
                <w:shd w:val="clear" w:color="auto" w:fill="FFFFFF"/>
              </w:rPr>
              <w:t>Освітньо-професійної</w:t>
            </w:r>
            <w:r w:rsidR="0019464C">
              <w:rPr>
                <w:b/>
                <w:shd w:val="clear" w:color="auto" w:fill="FFFFFF"/>
              </w:rPr>
              <w:t xml:space="preserve"> програм</w:t>
            </w:r>
            <w:r>
              <w:rPr>
                <w:b/>
                <w:shd w:val="clear" w:color="auto" w:fill="FFFFFF"/>
              </w:rPr>
              <w:t>и</w:t>
            </w:r>
            <w:r w:rsidR="006D6ECE" w:rsidRPr="0019464C">
              <w:rPr>
                <w:b/>
                <w:shd w:val="clear" w:color="auto" w:fill="FFFFFF"/>
              </w:rPr>
              <w:t xml:space="preserve"> </w:t>
            </w:r>
            <w:r w:rsidR="0019464C" w:rsidRPr="0019464C">
              <w:rPr>
                <w:b/>
                <w:shd w:val="clear" w:color="auto" w:fill="FFFFFF"/>
              </w:rPr>
              <w:t>«Геоінформаційні системи і технології»</w:t>
            </w:r>
          </w:p>
          <w:p w:rsidR="006D6ECE" w:rsidRPr="0019464C" w:rsidRDefault="006D6ECE" w:rsidP="009E70C5">
            <w:pPr>
              <w:jc w:val="both"/>
              <w:rPr>
                <w:b/>
                <w:color w:val="000000"/>
                <w:shd w:val="clear" w:color="auto" w:fill="FFFFFF"/>
              </w:rPr>
            </w:pPr>
            <w:r w:rsidRPr="0019464C">
              <w:rPr>
                <w:b/>
                <w:color w:val="000000"/>
                <w:shd w:val="clear" w:color="auto" w:fill="FFFFFF"/>
              </w:rPr>
              <w:t xml:space="preserve">          Галузь знань: 19  «Архітектура та будівництво»</w:t>
            </w:r>
          </w:p>
          <w:p w:rsidR="006D6ECE" w:rsidRPr="00163E92" w:rsidRDefault="006D6ECE" w:rsidP="009E70C5">
            <w:pPr>
              <w:jc w:val="both"/>
              <w:rPr>
                <w:b/>
                <w:shd w:val="clear" w:color="auto" w:fill="FFFFFF"/>
              </w:rPr>
            </w:pPr>
            <w:r w:rsidRPr="0019464C">
              <w:rPr>
                <w:b/>
                <w:shd w:val="clear" w:color="auto" w:fill="FFFFFF"/>
              </w:rPr>
              <w:t xml:space="preserve">               Спеціальність: 193</w:t>
            </w:r>
            <w:r w:rsidRPr="0019464C">
              <w:rPr>
                <w:b/>
              </w:rPr>
              <w:t xml:space="preserve"> «</w:t>
            </w:r>
            <w:r w:rsidRPr="0019464C">
              <w:rPr>
                <w:b/>
                <w:bCs/>
              </w:rPr>
              <w:t>Геодезія та землеустрій</w:t>
            </w:r>
            <w:r w:rsidRPr="0019464C">
              <w:rPr>
                <w:b/>
              </w:rPr>
              <w:t>»</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Рівень вищої освіти</w:t>
            </w:r>
          </w:p>
          <w:p w:rsidR="006D6ECE" w:rsidRPr="0019464C" w:rsidRDefault="006D6ECE" w:rsidP="009E70C5">
            <w:pPr>
              <w:rPr>
                <w:color w:val="000000"/>
                <w:shd w:val="clear" w:color="auto" w:fill="FFFFFF"/>
              </w:rPr>
            </w:pPr>
            <w:r w:rsidRPr="0019464C">
              <w:rPr>
                <w:color w:val="000000"/>
                <w:shd w:val="clear" w:color="auto" w:fill="FFFFFF"/>
              </w:rPr>
              <w:t>(перший (бакалаврський), другий (магістерський)</w:t>
            </w:r>
          </w:p>
        </w:tc>
        <w:tc>
          <w:tcPr>
            <w:tcW w:w="7088" w:type="dxa"/>
            <w:gridSpan w:val="2"/>
          </w:tcPr>
          <w:p w:rsidR="006D6ECE" w:rsidRPr="0019464C" w:rsidRDefault="006D6ECE" w:rsidP="009E70C5">
            <w:pPr>
              <w:rPr>
                <w:color w:val="000000"/>
                <w:shd w:val="clear" w:color="auto" w:fill="FFFFFF"/>
              </w:rPr>
            </w:pPr>
            <w:r w:rsidRPr="0019464C">
              <w:rPr>
                <w:color w:val="000000"/>
                <w:shd w:val="clear" w:color="auto" w:fill="FFFFFF"/>
              </w:rPr>
              <w:t>перший (бакалаврський)</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Статус дисципліни</w:t>
            </w:r>
          </w:p>
        </w:tc>
        <w:tc>
          <w:tcPr>
            <w:tcW w:w="7088" w:type="dxa"/>
            <w:gridSpan w:val="2"/>
          </w:tcPr>
          <w:p w:rsidR="006D6ECE" w:rsidRPr="0019464C" w:rsidRDefault="006D6ECE" w:rsidP="00F76AC3">
            <w:pPr>
              <w:rPr>
                <w:color w:val="000000"/>
                <w:shd w:val="clear" w:color="auto" w:fill="FFFFFF"/>
              </w:rPr>
            </w:pPr>
            <w:r w:rsidRPr="0019464C">
              <w:rPr>
                <w:color w:val="000000"/>
                <w:shd w:val="clear" w:color="auto" w:fill="FFFFFF"/>
              </w:rPr>
              <w:t xml:space="preserve">Навчальна дисципліна </w:t>
            </w:r>
            <w:r w:rsidR="00F76AC3">
              <w:rPr>
                <w:color w:val="000000"/>
                <w:shd w:val="clear" w:color="auto" w:fill="FFFFFF"/>
              </w:rPr>
              <w:t>вибірко</w:t>
            </w:r>
            <w:r w:rsidRPr="0019464C">
              <w:rPr>
                <w:color w:val="000000"/>
                <w:shd w:val="clear" w:color="auto" w:fill="FFFFFF"/>
              </w:rPr>
              <w:t>вого компонента ОП</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Курс</w:t>
            </w:r>
          </w:p>
        </w:tc>
        <w:tc>
          <w:tcPr>
            <w:tcW w:w="7088" w:type="dxa"/>
            <w:gridSpan w:val="2"/>
          </w:tcPr>
          <w:p w:rsidR="006D6ECE" w:rsidRPr="0019464C" w:rsidRDefault="0055514C" w:rsidP="009E70C5">
            <w:pPr>
              <w:rPr>
                <w:color w:val="000000"/>
                <w:shd w:val="clear" w:color="auto" w:fill="FFFFFF"/>
              </w:rPr>
            </w:pPr>
            <w:r>
              <w:rPr>
                <w:color w:val="000000"/>
                <w:shd w:val="clear" w:color="auto" w:fill="FFFFFF"/>
              </w:rPr>
              <w:t>Четвертий</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Семестр</w:t>
            </w:r>
          </w:p>
        </w:tc>
        <w:tc>
          <w:tcPr>
            <w:tcW w:w="7088" w:type="dxa"/>
            <w:gridSpan w:val="2"/>
          </w:tcPr>
          <w:p w:rsidR="006D6ECE" w:rsidRPr="0019464C" w:rsidRDefault="006D6ECE" w:rsidP="009E70C5">
            <w:pPr>
              <w:rPr>
                <w:color w:val="000000"/>
                <w:shd w:val="clear" w:color="auto" w:fill="FFFFFF"/>
              </w:rPr>
            </w:pPr>
            <w:r w:rsidRPr="0019464C">
              <w:rPr>
                <w:color w:val="000000"/>
                <w:shd w:val="clear" w:color="auto" w:fill="FFFFFF"/>
              </w:rPr>
              <w:t>Весняний</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 xml:space="preserve">Обсяг дисципліни, </w:t>
            </w:r>
          </w:p>
          <w:p w:rsidR="006D6ECE" w:rsidRPr="0019464C" w:rsidRDefault="006D6ECE" w:rsidP="009E70C5">
            <w:pPr>
              <w:rPr>
                <w:b/>
                <w:color w:val="000000"/>
                <w:shd w:val="clear" w:color="auto" w:fill="FFFFFF"/>
              </w:rPr>
            </w:pPr>
            <w:r w:rsidRPr="0019464C">
              <w:rPr>
                <w:b/>
                <w:color w:val="000000"/>
                <w:shd w:val="clear" w:color="auto" w:fill="FFFFFF"/>
              </w:rPr>
              <w:t>кредити ЄКТС/години</w:t>
            </w:r>
          </w:p>
        </w:tc>
        <w:tc>
          <w:tcPr>
            <w:tcW w:w="7088" w:type="dxa"/>
            <w:gridSpan w:val="2"/>
          </w:tcPr>
          <w:p w:rsidR="006D6ECE" w:rsidRPr="0019464C" w:rsidRDefault="0055514C" w:rsidP="0055514C">
            <w:pPr>
              <w:jc w:val="both"/>
              <w:rPr>
                <w:color w:val="000000"/>
                <w:shd w:val="clear" w:color="auto" w:fill="FFFFFF"/>
              </w:rPr>
            </w:pPr>
            <w:r>
              <w:rPr>
                <w:color w:val="000000"/>
                <w:shd w:val="clear" w:color="auto" w:fill="FFFFFF"/>
              </w:rPr>
              <w:t>4</w:t>
            </w:r>
            <w:r w:rsidR="006D6ECE" w:rsidRPr="0019464C">
              <w:rPr>
                <w:color w:val="000000"/>
                <w:shd w:val="clear" w:color="auto" w:fill="FFFFFF"/>
              </w:rPr>
              <w:t>,</w:t>
            </w:r>
            <w:r>
              <w:rPr>
                <w:color w:val="000000"/>
                <w:shd w:val="clear" w:color="auto" w:fill="FFFFFF"/>
              </w:rPr>
              <w:t>0</w:t>
            </w:r>
            <w:r w:rsidR="006D6ECE" w:rsidRPr="0019464C">
              <w:rPr>
                <w:color w:val="000000"/>
                <w:shd w:val="clear" w:color="auto" w:fill="FFFFFF"/>
              </w:rPr>
              <w:t xml:space="preserve"> кредити/</w:t>
            </w:r>
            <w:r>
              <w:rPr>
                <w:color w:val="000000"/>
                <w:shd w:val="clear" w:color="auto" w:fill="FFFFFF"/>
              </w:rPr>
              <w:t>120</w:t>
            </w:r>
            <w:r w:rsidR="006D6ECE" w:rsidRPr="0019464C">
              <w:rPr>
                <w:color w:val="000000"/>
                <w:shd w:val="clear" w:color="auto" w:fill="FFFFFF"/>
              </w:rPr>
              <w:t xml:space="preserve"> годин</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Мова викладання</w:t>
            </w:r>
          </w:p>
        </w:tc>
        <w:tc>
          <w:tcPr>
            <w:tcW w:w="7088" w:type="dxa"/>
            <w:gridSpan w:val="2"/>
          </w:tcPr>
          <w:p w:rsidR="006D6ECE" w:rsidRPr="0019464C" w:rsidRDefault="006D6ECE" w:rsidP="009E70C5">
            <w:pPr>
              <w:rPr>
                <w:color w:val="000000"/>
                <w:shd w:val="clear" w:color="auto" w:fill="FFFFFF"/>
              </w:rPr>
            </w:pPr>
            <w:r w:rsidRPr="0019464C">
              <w:rPr>
                <w:color w:val="000000"/>
              </w:rPr>
              <w:t>українська</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rPr>
              <w:t>Що буде вивчатися (предмет вивчення)</w:t>
            </w:r>
          </w:p>
        </w:tc>
        <w:tc>
          <w:tcPr>
            <w:tcW w:w="7088" w:type="dxa"/>
            <w:gridSpan w:val="2"/>
          </w:tcPr>
          <w:p w:rsidR="002E50AF" w:rsidRPr="0019464C" w:rsidRDefault="00D06626" w:rsidP="00D06626">
            <w:pPr>
              <w:jc w:val="both"/>
              <w:rPr>
                <w:color w:val="000000"/>
                <w:shd w:val="clear" w:color="auto" w:fill="FFFFFF"/>
              </w:rPr>
            </w:pPr>
            <w:r>
              <w:rPr>
                <w:color w:val="000000"/>
                <w:shd w:val="clear" w:color="auto" w:fill="FFFFFF"/>
              </w:rPr>
              <w:t>Космічна фотограмметрія</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rPr>
              <w:t>Чому це цікаво/треба вивчати (мета)</w:t>
            </w:r>
          </w:p>
        </w:tc>
        <w:tc>
          <w:tcPr>
            <w:tcW w:w="7088" w:type="dxa"/>
            <w:gridSpan w:val="2"/>
          </w:tcPr>
          <w:p w:rsidR="002E50AF" w:rsidRPr="0019464C" w:rsidRDefault="006D6ECE" w:rsidP="00D06626">
            <w:pPr>
              <w:shd w:val="clear" w:color="auto" w:fill="FFFFFF"/>
              <w:jc w:val="both"/>
              <w:rPr>
                <w:color w:val="000000"/>
                <w:shd w:val="clear" w:color="auto" w:fill="FFFFFF"/>
              </w:rPr>
            </w:pPr>
            <w:r w:rsidRPr="0019464C">
              <w:t xml:space="preserve">Студент набуде базових знань </w:t>
            </w:r>
            <w:r w:rsidR="002E50AF" w:rsidRPr="002E50AF">
              <w:rPr>
                <w:color w:val="000000"/>
                <w:shd w:val="clear" w:color="auto" w:fill="FFFFFF"/>
              </w:rPr>
              <w:t xml:space="preserve">про </w:t>
            </w:r>
            <w:r w:rsidR="00D06626" w:rsidRPr="00D06626">
              <w:rPr>
                <w:color w:val="000000"/>
                <w:shd w:val="clear" w:color="auto" w:fill="FFFFFF"/>
              </w:rPr>
              <w:t>теорі</w:t>
            </w:r>
            <w:r w:rsidR="00D06626">
              <w:rPr>
                <w:color w:val="000000"/>
                <w:shd w:val="clear" w:color="auto" w:fill="FFFFFF"/>
              </w:rPr>
              <w:t>ю</w:t>
            </w:r>
            <w:r w:rsidR="00D06626" w:rsidRPr="00D06626">
              <w:rPr>
                <w:color w:val="000000"/>
                <w:shd w:val="clear" w:color="auto" w:fill="FFFFFF"/>
              </w:rPr>
              <w:t xml:space="preserve"> космічної фотограмметрії та практичних навичок із оброблення космічних знімків, отриманих різноманітними знімальними системами</w:t>
            </w:r>
            <w:r w:rsidR="002E50AF" w:rsidRPr="002E50AF">
              <w:rPr>
                <w:color w:val="000000"/>
                <w:shd w:val="clear" w:color="auto" w:fill="FFFFFF"/>
              </w:rPr>
              <w:t>.</w:t>
            </w:r>
          </w:p>
        </w:tc>
      </w:tr>
      <w:tr w:rsidR="006D6ECE" w:rsidRPr="0019464C" w:rsidTr="00A702CD">
        <w:tc>
          <w:tcPr>
            <w:tcW w:w="2869" w:type="dxa"/>
            <w:shd w:val="clear" w:color="auto" w:fill="FFFFFF"/>
          </w:tcPr>
          <w:p w:rsidR="006D6ECE" w:rsidRPr="0019464C" w:rsidRDefault="006D6ECE" w:rsidP="009E70C5">
            <w:pPr>
              <w:rPr>
                <w:b/>
              </w:rPr>
            </w:pPr>
            <w:r w:rsidRPr="0019464C">
              <w:rPr>
                <w:b/>
              </w:rPr>
              <w:t>Чому можна навчитися (результати навчання)</w:t>
            </w:r>
          </w:p>
        </w:tc>
        <w:tc>
          <w:tcPr>
            <w:tcW w:w="7088" w:type="dxa"/>
            <w:gridSpan w:val="2"/>
          </w:tcPr>
          <w:p w:rsidR="00D06626" w:rsidRPr="00D06626" w:rsidRDefault="00D06626" w:rsidP="00D06626">
            <w:pPr>
              <w:pStyle w:val="a8"/>
              <w:numPr>
                <w:ilvl w:val="0"/>
                <w:numId w:val="1"/>
              </w:numPr>
              <w:ind w:left="350" w:hanging="284"/>
              <w:rPr>
                <w:color w:val="000000"/>
                <w:shd w:val="clear" w:color="auto" w:fill="FFFFFF"/>
              </w:rPr>
            </w:pPr>
            <w:r w:rsidRPr="00D06626">
              <w:rPr>
                <w:color w:val="000000"/>
                <w:shd w:val="clear" w:color="auto" w:fill="FFFFFF"/>
              </w:rPr>
              <w:t>ПРН5. Застосовувати концептуальні знання природничих і соціально-економічних наук при виконанні завдань геодезії та землеустрою;</w:t>
            </w:r>
          </w:p>
          <w:p w:rsidR="00D06626" w:rsidRPr="00D06626" w:rsidRDefault="00D06626" w:rsidP="00D06626">
            <w:pPr>
              <w:pStyle w:val="a8"/>
              <w:numPr>
                <w:ilvl w:val="0"/>
                <w:numId w:val="1"/>
              </w:numPr>
              <w:ind w:left="350" w:hanging="284"/>
              <w:rPr>
                <w:color w:val="000000"/>
                <w:shd w:val="clear" w:color="auto" w:fill="FFFFFF"/>
              </w:rPr>
            </w:pPr>
            <w:r w:rsidRPr="00D06626">
              <w:rPr>
                <w:color w:val="000000"/>
                <w:shd w:val="clear" w:color="auto" w:fill="FFFFFF"/>
              </w:rPr>
              <w:t>ПРН9. Збирати, оцінювати, інтерпретувати та використовувати геопросторові дані, метадані щодо об’єктів природного і техногенного походження, застосовувати статистичні методи їхнього аналізу для розв’язання спеціалізованих задач у сфері геодезії та землеустрою;</w:t>
            </w:r>
          </w:p>
          <w:p w:rsidR="00D06626" w:rsidRPr="00D06626" w:rsidRDefault="00D06626" w:rsidP="00D06626">
            <w:pPr>
              <w:pStyle w:val="a8"/>
              <w:numPr>
                <w:ilvl w:val="0"/>
                <w:numId w:val="1"/>
              </w:numPr>
              <w:ind w:left="350" w:hanging="284"/>
              <w:rPr>
                <w:color w:val="000000"/>
                <w:shd w:val="clear" w:color="auto" w:fill="FFFFFF"/>
              </w:rPr>
            </w:pPr>
            <w:r w:rsidRPr="00D06626">
              <w:rPr>
                <w:color w:val="000000"/>
                <w:shd w:val="clear" w:color="auto" w:fill="FFFFFF"/>
              </w:rPr>
              <w:t>ПРН10. Обирати і застосовувати інструменти, обладнання, устаткування та програмне забезпечення, які необхідні для дистанційних, наземних, польових і камеральних досліджень у сфері геодезії та землеустрою;</w:t>
            </w:r>
          </w:p>
          <w:p w:rsidR="00D06626" w:rsidRPr="00D06626" w:rsidRDefault="00D06626" w:rsidP="00D06626">
            <w:pPr>
              <w:pStyle w:val="a8"/>
              <w:numPr>
                <w:ilvl w:val="0"/>
                <w:numId w:val="1"/>
              </w:numPr>
              <w:ind w:left="350" w:hanging="284"/>
              <w:rPr>
                <w:color w:val="000000"/>
                <w:shd w:val="clear" w:color="auto" w:fill="FFFFFF"/>
              </w:rPr>
            </w:pPr>
            <w:r w:rsidRPr="00D06626">
              <w:rPr>
                <w:color w:val="000000"/>
                <w:shd w:val="clear" w:color="auto" w:fill="FFFFFF"/>
              </w:rPr>
              <w:t xml:space="preserve">ПРН11. </w:t>
            </w:r>
            <w:r w:rsidRPr="00D06626">
              <w:rPr>
                <w:bCs/>
                <w:color w:val="000000"/>
                <w:shd w:val="clear" w:color="auto" w:fill="FFFFFF"/>
              </w:rPr>
              <w:t xml:space="preserve">Організовувати та виконувати </w:t>
            </w:r>
            <w:r w:rsidRPr="00D06626">
              <w:rPr>
                <w:color w:val="000000"/>
                <w:shd w:val="clear" w:color="auto" w:fill="FFFFFF"/>
              </w:rPr>
              <w:t>дистанційні, наземні, польові і камеральні роботи</w:t>
            </w:r>
            <w:r w:rsidRPr="00D06626">
              <w:rPr>
                <w:bCs/>
                <w:color w:val="000000"/>
                <w:shd w:val="clear" w:color="auto" w:fill="FFFFFF"/>
              </w:rPr>
              <w:t xml:space="preserve"> в </w:t>
            </w:r>
            <w:r w:rsidRPr="00D06626">
              <w:rPr>
                <w:color w:val="000000"/>
                <w:shd w:val="clear" w:color="auto" w:fill="FFFFFF"/>
              </w:rPr>
              <w:t>сфері</w:t>
            </w:r>
            <w:r w:rsidRPr="00D06626">
              <w:rPr>
                <w:bCs/>
                <w:color w:val="000000"/>
                <w:shd w:val="clear" w:color="auto" w:fill="FFFFFF"/>
              </w:rPr>
              <w:t xml:space="preserve"> геодезії та землеустрою, оформляти результати робіт;</w:t>
            </w:r>
          </w:p>
          <w:p w:rsidR="00D06626" w:rsidRPr="00D06626" w:rsidRDefault="00D06626" w:rsidP="00D06626">
            <w:pPr>
              <w:pStyle w:val="a8"/>
              <w:numPr>
                <w:ilvl w:val="0"/>
                <w:numId w:val="1"/>
              </w:numPr>
              <w:ind w:left="350" w:hanging="284"/>
              <w:rPr>
                <w:color w:val="000000"/>
                <w:shd w:val="clear" w:color="auto" w:fill="FFFFFF"/>
              </w:rPr>
            </w:pPr>
            <w:r w:rsidRPr="00D06626">
              <w:rPr>
                <w:color w:val="000000"/>
                <w:shd w:val="clear" w:color="auto" w:fill="FFFFFF"/>
              </w:rPr>
              <w:t>ПРН17. Завантажувати, обробляти, аналізувати та інтерпретувати дані дистанційного зондування Землі у спеціальному програмному забезпеченні, виконувати їх тематичну обробку, включаючи аналіз змін, моніторинг, аналіз стану місцевості на основі її спектральних відбивальних властивостей;</w:t>
            </w:r>
          </w:p>
          <w:p w:rsidR="006D6ECE" w:rsidRPr="002E50AF" w:rsidRDefault="00D06626" w:rsidP="00D06626">
            <w:pPr>
              <w:pStyle w:val="a8"/>
              <w:numPr>
                <w:ilvl w:val="0"/>
                <w:numId w:val="1"/>
              </w:numPr>
              <w:pBdr>
                <w:top w:val="nil"/>
                <w:left w:val="nil"/>
                <w:bottom w:val="nil"/>
                <w:right w:val="nil"/>
                <w:between w:val="nil"/>
              </w:pBdr>
              <w:ind w:left="350" w:hanging="284"/>
              <w:jc w:val="both"/>
              <w:rPr>
                <w:noProof w:val="0"/>
                <w:color w:val="000000"/>
                <w:shd w:val="clear" w:color="auto" w:fill="FFFFFF"/>
              </w:rPr>
            </w:pPr>
            <w:r w:rsidRPr="00D06626">
              <w:rPr>
                <w:noProof w:val="0"/>
                <w:color w:val="000000"/>
                <w:shd w:val="clear" w:color="auto" w:fill="FFFFFF"/>
              </w:rPr>
              <w:t>ПРН18. Виконувати комплекс робіт з цифровими аерофотознімками, направлений та складання та оновлення по ним цифрових топографічних планів і карт</w:t>
            </w:r>
            <w:r>
              <w:rPr>
                <w:noProof w:val="0"/>
                <w:color w:val="000000"/>
                <w:shd w:val="clear" w:color="auto" w:fill="FFFFFF"/>
              </w:rPr>
              <w:t>.</w:t>
            </w:r>
          </w:p>
        </w:tc>
      </w:tr>
      <w:tr w:rsidR="006D6ECE" w:rsidRPr="0019464C" w:rsidTr="00A702CD">
        <w:tc>
          <w:tcPr>
            <w:tcW w:w="2869" w:type="dxa"/>
            <w:shd w:val="clear" w:color="auto" w:fill="FFFFFF"/>
          </w:tcPr>
          <w:p w:rsidR="006D6ECE" w:rsidRPr="0019464C" w:rsidRDefault="006D6ECE" w:rsidP="009E70C5">
            <w:pPr>
              <w:rPr>
                <w:b/>
              </w:rPr>
            </w:pPr>
            <w:r w:rsidRPr="0019464C">
              <w:rPr>
                <w:b/>
              </w:rPr>
              <w:t xml:space="preserve">Як можна користуватися набутими знаннями і </w:t>
            </w:r>
            <w:r w:rsidRPr="0019464C">
              <w:rPr>
                <w:b/>
              </w:rPr>
              <w:lastRenderedPageBreak/>
              <w:t>уміннями (компетентності)</w:t>
            </w:r>
          </w:p>
        </w:tc>
        <w:tc>
          <w:tcPr>
            <w:tcW w:w="7088" w:type="dxa"/>
            <w:gridSpan w:val="2"/>
          </w:tcPr>
          <w:p w:rsidR="002E50AF" w:rsidRPr="002E50AF" w:rsidRDefault="002E50AF" w:rsidP="002E50AF">
            <w:pPr>
              <w:pStyle w:val="a8"/>
              <w:ind w:left="0"/>
              <w:jc w:val="both"/>
              <w:rPr>
                <w:noProof w:val="0"/>
                <w:color w:val="000000"/>
              </w:rPr>
            </w:pPr>
            <w:r w:rsidRPr="002E50AF">
              <w:rPr>
                <w:noProof w:val="0"/>
                <w:color w:val="000000"/>
              </w:rPr>
              <w:lastRenderedPageBreak/>
              <w:t>Одержати знання та розуміння області геодезії та землеустрою;</w:t>
            </w:r>
          </w:p>
          <w:p w:rsidR="006D6ECE" w:rsidRPr="002E50AF" w:rsidRDefault="002E50AF" w:rsidP="002E50AF">
            <w:pPr>
              <w:pStyle w:val="a8"/>
              <w:ind w:left="0"/>
              <w:jc w:val="both"/>
              <w:rPr>
                <w:noProof w:val="0"/>
                <w:color w:val="000000"/>
              </w:rPr>
            </w:pPr>
            <w:r w:rsidRPr="002E50AF">
              <w:rPr>
                <w:noProof w:val="0"/>
                <w:color w:val="000000"/>
              </w:rPr>
              <w:t>здатність показувати знання і розуміння основних теорій, методів, принципів, технологій і методик в галузі геодезії та землеустрою;</w:t>
            </w:r>
            <w:r>
              <w:rPr>
                <w:noProof w:val="0"/>
                <w:color w:val="000000"/>
              </w:rPr>
              <w:t xml:space="preserve"> </w:t>
            </w:r>
            <w:r w:rsidRPr="002E50AF">
              <w:rPr>
                <w:noProof w:val="0"/>
                <w:color w:val="000000"/>
              </w:rPr>
              <w:t xml:space="preserve">здатність використовувати знання з загальних інженерних наук у </w:t>
            </w:r>
            <w:r w:rsidRPr="002E50AF">
              <w:rPr>
                <w:noProof w:val="0"/>
                <w:color w:val="000000"/>
              </w:rPr>
              <w:lastRenderedPageBreak/>
              <w:t>навчанні та професійній діяльності, вміння використовувати їх теорії, принципи та технічні підходи;</w:t>
            </w:r>
            <w:r>
              <w:rPr>
                <w:noProof w:val="0"/>
                <w:color w:val="000000"/>
              </w:rPr>
              <w:t xml:space="preserve"> </w:t>
            </w:r>
            <w:r w:rsidRPr="002E50AF">
              <w:rPr>
                <w:noProof w:val="0"/>
                <w:color w:val="000000"/>
              </w:rPr>
              <w:t>здатність вибирати методи, засоби та обладнання з метою здійснення професійної діяльності в</w:t>
            </w:r>
            <w:r>
              <w:rPr>
                <w:noProof w:val="0"/>
                <w:color w:val="000000"/>
              </w:rPr>
              <w:t xml:space="preserve"> галузі геодезії та землеустрою; з</w:t>
            </w:r>
            <w:r w:rsidRPr="002E50AF">
              <w:rPr>
                <w:noProof w:val="0"/>
                <w:color w:val="000000"/>
              </w:rPr>
              <w:t>датність проводити польові, дистанційні і камеральні дослідження в галузі геодезії та землеустрою;</w:t>
            </w:r>
            <w:r>
              <w:rPr>
                <w:noProof w:val="0"/>
                <w:color w:val="000000"/>
              </w:rPr>
              <w:t xml:space="preserve"> </w:t>
            </w:r>
            <w:r w:rsidRPr="002E50AF">
              <w:rPr>
                <w:noProof w:val="0"/>
                <w:color w:val="000000"/>
              </w:rPr>
              <w:t>вміння використовувати сучасне фотограмметричне програмне забезпечення та обладнання;</w:t>
            </w:r>
            <w:r>
              <w:rPr>
                <w:noProof w:val="0"/>
                <w:color w:val="000000"/>
              </w:rPr>
              <w:t xml:space="preserve"> </w:t>
            </w:r>
            <w:r w:rsidRPr="002E50AF">
              <w:rPr>
                <w:noProof w:val="0"/>
                <w:color w:val="000000"/>
              </w:rPr>
              <w:t>здатність агрегувати польові, камеральні та дистанційні дані на теоретичній основі з метою синтезування нових знань у сфері геодезії та землеустрою;</w:t>
            </w:r>
            <w:r>
              <w:rPr>
                <w:noProof w:val="0"/>
                <w:color w:val="000000"/>
              </w:rPr>
              <w:t xml:space="preserve"> </w:t>
            </w:r>
            <w:r w:rsidRPr="002E50AF">
              <w:rPr>
                <w:noProof w:val="0"/>
                <w:color w:val="000000"/>
              </w:rPr>
              <w:t>здатність застосовувати карти динаміки природного середовища для вирішення завдань, пов’язаних з проведенням моніторингу довкілля;</w:t>
            </w:r>
            <w:r>
              <w:rPr>
                <w:noProof w:val="0"/>
                <w:color w:val="000000"/>
              </w:rPr>
              <w:t xml:space="preserve"> </w:t>
            </w:r>
            <w:r w:rsidRPr="002E50AF">
              <w:rPr>
                <w:noProof w:val="0"/>
                <w:color w:val="000000"/>
              </w:rPr>
              <w:t>здатність використовувати цифрові карти для аналізу стану навколишнього природного середовища;</w:t>
            </w:r>
            <w:r>
              <w:rPr>
                <w:noProof w:val="0"/>
                <w:color w:val="000000"/>
              </w:rPr>
              <w:t xml:space="preserve"> </w:t>
            </w:r>
            <w:r w:rsidRPr="002E50AF">
              <w:rPr>
                <w:noProof w:val="0"/>
                <w:color w:val="000000"/>
              </w:rPr>
              <w:t>здатність вирішувати різнотипні геодезичні, топографічні та дистанційні задачі, обробляти супутникову інформацію та дані отримані з БПЛА;</w:t>
            </w:r>
            <w:r>
              <w:rPr>
                <w:noProof w:val="0"/>
                <w:color w:val="000000"/>
              </w:rPr>
              <w:t xml:space="preserve"> </w:t>
            </w:r>
            <w:r w:rsidRPr="002E50AF">
              <w:rPr>
                <w:noProof w:val="0"/>
                <w:color w:val="000000"/>
              </w:rPr>
              <w:t>володіння методами тематичної картографічної інтерпретації результатів зйомок місцевості, матеріалів дистанційного зондування Землі, геодезичних і супутникових вимірювань, стат</w:t>
            </w:r>
            <w:r>
              <w:rPr>
                <w:noProof w:val="0"/>
                <w:color w:val="000000"/>
              </w:rPr>
              <w:t>истичних даних та інших джерел.</w:t>
            </w:r>
          </w:p>
        </w:tc>
      </w:tr>
      <w:tr w:rsidR="006D6ECE" w:rsidRPr="0019464C" w:rsidTr="00A702CD">
        <w:tc>
          <w:tcPr>
            <w:tcW w:w="2869" w:type="dxa"/>
            <w:shd w:val="clear" w:color="auto" w:fill="FFFFFF"/>
          </w:tcPr>
          <w:p w:rsidR="006D6ECE" w:rsidRPr="0019464C" w:rsidRDefault="006D6ECE" w:rsidP="009E70C5">
            <w:pPr>
              <w:rPr>
                <w:b/>
              </w:rPr>
            </w:pPr>
            <w:r w:rsidRPr="0019464C">
              <w:rPr>
                <w:b/>
              </w:rPr>
              <w:lastRenderedPageBreak/>
              <w:t>Навчальна логістика</w:t>
            </w:r>
          </w:p>
        </w:tc>
        <w:tc>
          <w:tcPr>
            <w:tcW w:w="7088" w:type="dxa"/>
            <w:gridSpan w:val="2"/>
          </w:tcPr>
          <w:p w:rsidR="00DB6256" w:rsidRDefault="006D6ECE" w:rsidP="00DB6256">
            <w:pPr>
              <w:jc w:val="both"/>
            </w:pPr>
            <w:r w:rsidRPr="0019464C">
              <w:rPr>
                <w:b/>
              </w:rPr>
              <w:t xml:space="preserve">Зміст дисципліни: </w:t>
            </w:r>
            <w:r w:rsidR="00DB6256">
              <w:t>Предмет і задачі космічної фотограмметрії. Об’єкти досліджень. Теоретичні основи космічної фотограмметрії.</w:t>
            </w:r>
          </w:p>
          <w:p w:rsidR="006D6ECE" w:rsidRPr="0019464C" w:rsidRDefault="00DB6256" w:rsidP="00BD27C1">
            <w:pPr>
              <w:jc w:val="both"/>
            </w:pPr>
            <w:r>
              <w:t>Визначення планетоцентричних координат точок планет. Космічна фототріангуляція. Прикладні штучні супутники Землі. Особливості виконання космічного знімання. Фотограмметрія космічних знімків</w:t>
            </w:r>
            <w:r w:rsidR="000C2C0B">
              <w:t>.</w:t>
            </w:r>
            <w:r w:rsidR="00BD27C1">
              <w:t xml:space="preserve"> Дешифрування космічних знімків. Параметри, умови та особливості космічних зйомок, властивості космічних знімків. Особливості фотограмметричного опрацювання космічних знімків. Побудова опорних мереж на об’єктах Сонячної системи. Особливості картографування за космічними знімками. Види та класифікація космічних знімків. Формати цифрових файлів матеріалів космічного знімання.</w:t>
            </w:r>
          </w:p>
          <w:p w:rsidR="006D6ECE" w:rsidRPr="0019464C" w:rsidRDefault="006D6ECE" w:rsidP="009E70C5">
            <w:pPr>
              <w:rPr>
                <w:b/>
              </w:rPr>
            </w:pPr>
            <w:r w:rsidRPr="0019464C">
              <w:rPr>
                <w:b/>
                <w:color w:val="000000"/>
                <w:shd w:val="clear" w:color="auto" w:fill="FFFFFF"/>
              </w:rPr>
              <w:t xml:space="preserve">Види занять: </w:t>
            </w:r>
            <w:r w:rsidRPr="0019464C">
              <w:rPr>
                <w:bCs/>
              </w:rPr>
              <w:t xml:space="preserve">лекції, </w:t>
            </w:r>
            <w:r w:rsidR="00DB6256">
              <w:rPr>
                <w:bCs/>
              </w:rPr>
              <w:t>лабораторні</w:t>
            </w:r>
            <w:r w:rsidRPr="0019464C">
              <w:rPr>
                <w:bCs/>
              </w:rPr>
              <w:t xml:space="preserve"> </w:t>
            </w:r>
            <w:r w:rsidR="00DB6256">
              <w:rPr>
                <w:bCs/>
              </w:rPr>
              <w:t>роботи</w:t>
            </w:r>
            <w:r w:rsidRPr="0019464C">
              <w:rPr>
                <w:bCs/>
              </w:rPr>
              <w:t>, самостійна робота</w:t>
            </w:r>
          </w:p>
          <w:p w:rsidR="006D6ECE" w:rsidRPr="0019464C" w:rsidRDefault="006D6ECE" w:rsidP="009E70C5">
            <w:pPr>
              <w:rPr>
                <w:b/>
              </w:rPr>
            </w:pPr>
            <w:r w:rsidRPr="0019464C">
              <w:rPr>
                <w:b/>
              </w:rPr>
              <w:t>Методи навчання:</w:t>
            </w:r>
            <w:r w:rsidRPr="0019464C">
              <w:t xml:space="preserve"> </w:t>
            </w:r>
            <w:r w:rsidRPr="0019464C">
              <w:rPr>
                <w:bCs/>
              </w:rPr>
              <w:t>словесні, практичні</w:t>
            </w:r>
            <w:r w:rsidRPr="0019464C">
              <w:rPr>
                <w:b/>
              </w:rPr>
              <w:t xml:space="preserve"> </w:t>
            </w:r>
          </w:p>
          <w:p w:rsidR="006D6ECE" w:rsidRPr="0019464C" w:rsidRDefault="006D6ECE" w:rsidP="00B0018B">
            <w:pPr>
              <w:rPr>
                <w:b/>
                <w:color w:val="000000"/>
                <w:shd w:val="clear" w:color="auto" w:fill="FFFFFF"/>
              </w:rPr>
            </w:pPr>
            <w:r w:rsidRPr="0019464C">
              <w:rPr>
                <w:b/>
              </w:rPr>
              <w:t xml:space="preserve">Форми навчання: </w:t>
            </w:r>
            <w:r w:rsidR="00B0018B">
              <w:t>очна</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Пререквізити</w:t>
            </w:r>
          </w:p>
        </w:tc>
        <w:tc>
          <w:tcPr>
            <w:tcW w:w="7088" w:type="dxa"/>
            <w:gridSpan w:val="2"/>
          </w:tcPr>
          <w:p w:rsidR="006D6ECE" w:rsidRPr="0019464C" w:rsidRDefault="000C2C0B" w:rsidP="009E70C5">
            <w:pPr>
              <w:rPr>
                <w:b/>
                <w:color w:val="000000"/>
                <w:shd w:val="clear" w:color="auto" w:fill="FFFFFF"/>
              </w:rPr>
            </w:pPr>
            <w:r w:rsidRPr="000C2C0B">
              <w:rPr>
                <w:color w:val="000000"/>
              </w:rPr>
              <w:t>«Вища математика», «Фізика», «Топографія», «Геодезія», «Картографія», «ГІС і бази даних», «Астрономо-геодезичні прилади»</w:t>
            </w:r>
            <w:r w:rsidR="00B217E6">
              <w:rPr>
                <w:color w:val="000000"/>
              </w:rPr>
              <w:t>, «Фотограмметрія та дистанційне зондування»</w:t>
            </w:r>
          </w:p>
        </w:tc>
      </w:tr>
      <w:tr w:rsidR="006D6ECE" w:rsidRPr="0019464C" w:rsidTr="00A702CD">
        <w:tc>
          <w:tcPr>
            <w:tcW w:w="2869" w:type="dxa"/>
            <w:shd w:val="clear" w:color="auto" w:fill="FFFFFF"/>
          </w:tcPr>
          <w:p w:rsidR="006D6ECE" w:rsidRPr="0019464C" w:rsidRDefault="006D6ECE" w:rsidP="009E70C5">
            <w:pPr>
              <w:rPr>
                <w:b/>
              </w:rPr>
            </w:pPr>
            <w:r w:rsidRPr="0019464C">
              <w:rPr>
                <w:b/>
                <w:color w:val="000000"/>
                <w:shd w:val="clear" w:color="auto" w:fill="FFFFFF"/>
              </w:rPr>
              <w:t>Пореквізити</w:t>
            </w:r>
          </w:p>
        </w:tc>
        <w:tc>
          <w:tcPr>
            <w:tcW w:w="7088" w:type="dxa"/>
            <w:gridSpan w:val="2"/>
          </w:tcPr>
          <w:p w:rsidR="006D6ECE" w:rsidRPr="0019464C" w:rsidRDefault="000C2C0B" w:rsidP="009E70C5">
            <w:pPr>
              <w:rPr>
                <w:b/>
                <w:color w:val="000000"/>
                <w:shd w:val="clear" w:color="auto" w:fill="FFFFFF"/>
              </w:rPr>
            </w:pPr>
            <w:r w:rsidRPr="000C2C0B">
              <w:rPr>
                <w:color w:val="000000"/>
              </w:rPr>
              <w:t>«Дистанційний моніторинг надзвичайних ситуацій», «Обробка цифрових аерокосмічних зображень», «Аерокосмічні знімальні системи», «Моніторинг та охорона земель», «Аерокосмічні методи моніторингу довкілля»</w:t>
            </w:r>
          </w:p>
        </w:tc>
      </w:tr>
      <w:tr w:rsidR="006D6ECE" w:rsidRPr="0019464C" w:rsidTr="00A702CD">
        <w:tc>
          <w:tcPr>
            <w:tcW w:w="2869" w:type="dxa"/>
            <w:shd w:val="clear" w:color="auto" w:fill="FFFFFF"/>
          </w:tcPr>
          <w:p w:rsidR="006D6ECE" w:rsidRPr="0019464C" w:rsidRDefault="006D6ECE" w:rsidP="009E70C5">
            <w:pPr>
              <w:rPr>
                <w:b/>
              </w:rPr>
            </w:pPr>
            <w:r w:rsidRPr="0019464C">
              <w:rPr>
                <w:b/>
              </w:rPr>
              <w:t>Інформаційне забезпечення</w:t>
            </w:r>
          </w:p>
          <w:p w:rsidR="006D6ECE" w:rsidRPr="0019464C" w:rsidRDefault="006D6ECE" w:rsidP="009E70C5">
            <w:pPr>
              <w:rPr>
                <w:b/>
              </w:rPr>
            </w:pPr>
            <w:r w:rsidRPr="0019464C">
              <w:rPr>
                <w:b/>
              </w:rPr>
              <w:t>з репозитарію та фонду НТБ НАУ</w:t>
            </w:r>
          </w:p>
        </w:tc>
        <w:tc>
          <w:tcPr>
            <w:tcW w:w="7088" w:type="dxa"/>
            <w:gridSpan w:val="2"/>
          </w:tcPr>
          <w:p w:rsidR="009C163E" w:rsidRPr="009C163E" w:rsidRDefault="009C163E" w:rsidP="009C163E">
            <w:pPr>
              <w:pStyle w:val="a8"/>
              <w:numPr>
                <w:ilvl w:val="0"/>
                <w:numId w:val="4"/>
              </w:numPr>
              <w:ind w:left="175" w:hanging="175"/>
            </w:pPr>
            <w:r w:rsidRPr="009C163E">
              <w:t>Дорожинський О. Л. Фотограмметрія та дистанційне зондування. Книга 1. Львів: Видавництво Львівської політехніки, 2019. 176 с.</w:t>
            </w:r>
          </w:p>
          <w:p w:rsidR="009C163E" w:rsidRPr="009C163E" w:rsidRDefault="009C163E" w:rsidP="009C163E">
            <w:pPr>
              <w:pStyle w:val="a8"/>
              <w:numPr>
                <w:ilvl w:val="0"/>
                <w:numId w:val="4"/>
              </w:numPr>
              <w:ind w:left="175" w:hanging="175"/>
            </w:pPr>
            <w:r w:rsidRPr="009C163E">
              <w:t xml:space="preserve">Бурштинська Х. В., Станкевич С. А., Денис Ю. В. </w:t>
            </w:r>
            <w:r w:rsidRPr="009C163E">
              <w:rPr>
                <w:bCs/>
              </w:rPr>
              <w:t xml:space="preserve">Фотограмметрія та дистанційне зондування. Книга 2. </w:t>
            </w:r>
            <w:r w:rsidRPr="009C163E">
              <w:t>Львів: Видавництво Львівської політехніки, 2019. 216 с.</w:t>
            </w:r>
          </w:p>
          <w:p w:rsidR="009C163E" w:rsidRPr="009C163E" w:rsidRDefault="009C163E" w:rsidP="009C163E">
            <w:pPr>
              <w:pStyle w:val="a8"/>
              <w:numPr>
                <w:ilvl w:val="0"/>
                <w:numId w:val="4"/>
              </w:numPr>
              <w:ind w:left="175" w:hanging="175"/>
            </w:pPr>
            <w:r w:rsidRPr="009C163E">
              <w:t>Железняк О.О. Космічна фотограмметрія: навч. посіб. / О. О. Железняк, Л. С. Чубко. – К: НАУ, 2012. – 220 с.</w:t>
            </w:r>
          </w:p>
          <w:p w:rsidR="009C163E" w:rsidRPr="009C163E" w:rsidRDefault="009C163E" w:rsidP="009C163E">
            <w:pPr>
              <w:pStyle w:val="a8"/>
              <w:numPr>
                <w:ilvl w:val="0"/>
                <w:numId w:val="4"/>
              </w:numPr>
              <w:ind w:left="175" w:hanging="175"/>
            </w:pPr>
            <w:r w:rsidRPr="009C163E">
              <w:t>Манойлов В.П., Омельчук В.В., Опанюк В.В. Дистанційне зондування Землі із космосу: науково-технічні основи формування й обробки видової інформації: Монографія. – Житомир: ЖДТУ, 2008. – 384 с.</w:t>
            </w:r>
          </w:p>
          <w:p w:rsidR="009C163E" w:rsidRPr="009C163E" w:rsidRDefault="009C163E" w:rsidP="009C163E">
            <w:pPr>
              <w:pStyle w:val="a8"/>
              <w:numPr>
                <w:ilvl w:val="0"/>
                <w:numId w:val="4"/>
              </w:numPr>
              <w:ind w:left="175" w:hanging="175"/>
            </w:pPr>
            <w:r w:rsidRPr="009C163E">
              <w:lastRenderedPageBreak/>
              <w:t>Joseph G. Building Earth Observation Cameras. CRC Press Taylor &amp; Francis Group, 2015. – 356 p.</w:t>
            </w:r>
          </w:p>
          <w:p w:rsidR="006D6ECE" w:rsidRPr="006C0316" w:rsidRDefault="009C163E" w:rsidP="009C163E">
            <w:pPr>
              <w:pStyle w:val="a8"/>
              <w:numPr>
                <w:ilvl w:val="0"/>
                <w:numId w:val="4"/>
              </w:numPr>
              <w:ind w:left="175" w:hanging="175"/>
            </w:pPr>
            <w:r w:rsidRPr="009C163E">
              <w:t>Richards J</w:t>
            </w:r>
            <w:r w:rsidRPr="009C163E">
              <w:rPr>
                <w:lang w:val="ru-RU"/>
              </w:rPr>
              <w:t>.</w:t>
            </w:r>
            <w:r w:rsidRPr="009C163E">
              <w:t xml:space="preserve"> A.</w:t>
            </w:r>
            <w:r w:rsidRPr="009C163E">
              <w:rPr>
                <w:lang w:val="ru-RU"/>
              </w:rPr>
              <w:t xml:space="preserve"> </w:t>
            </w:r>
            <w:r w:rsidRPr="009C163E">
              <w:t>Remote Sensing Digital Image Analysis Edition: 6th ed. Springer</w:t>
            </w:r>
            <w:r w:rsidRPr="009C163E">
              <w:rPr>
                <w:lang w:val="ru-RU"/>
              </w:rPr>
              <w:t>,</w:t>
            </w:r>
            <w:r w:rsidRPr="009C163E">
              <w:t xml:space="preserve"> 2022</w:t>
            </w:r>
            <w:r w:rsidRPr="009C163E">
              <w:rPr>
                <w:lang w:val="ru-RU"/>
              </w:rPr>
              <w:t xml:space="preserve">. </w:t>
            </w:r>
            <w:r w:rsidRPr="009C163E">
              <w:t>587</w:t>
            </w:r>
            <w:r w:rsidRPr="009C163E">
              <w:rPr>
                <w:lang w:val="ru-RU"/>
              </w:rPr>
              <w:t xml:space="preserve"> </w:t>
            </w:r>
            <w:r w:rsidRPr="009C163E">
              <w:rPr>
                <w:lang w:val="en-US"/>
              </w:rPr>
              <w:t>p.</w:t>
            </w:r>
            <w:bookmarkStart w:id="0" w:name="_GoBack"/>
            <w:bookmarkEnd w:id="0"/>
          </w:p>
        </w:tc>
      </w:tr>
      <w:tr w:rsidR="006D6ECE" w:rsidRPr="0019464C" w:rsidTr="00A702CD">
        <w:tc>
          <w:tcPr>
            <w:tcW w:w="2869" w:type="dxa"/>
            <w:shd w:val="clear" w:color="auto" w:fill="FFFFFF"/>
          </w:tcPr>
          <w:p w:rsidR="006D6ECE" w:rsidRPr="0019464C" w:rsidRDefault="006D6ECE" w:rsidP="009E70C5">
            <w:pPr>
              <w:rPr>
                <w:b/>
              </w:rPr>
            </w:pPr>
            <w:r w:rsidRPr="0019464C">
              <w:rPr>
                <w:b/>
              </w:rPr>
              <w:lastRenderedPageBreak/>
              <w:t>Локація та матеріально-технічне забезпечення</w:t>
            </w:r>
          </w:p>
        </w:tc>
        <w:tc>
          <w:tcPr>
            <w:tcW w:w="7088" w:type="dxa"/>
            <w:gridSpan w:val="2"/>
          </w:tcPr>
          <w:p w:rsidR="006D6ECE" w:rsidRPr="0019464C" w:rsidRDefault="006D6ECE" w:rsidP="009E70C5">
            <w:r w:rsidRPr="0019464C">
              <w:t>Корпус 3. Кафедра аерокосмічної геодезії та землеустрою</w:t>
            </w:r>
          </w:p>
        </w:tc>
      </w:tr>
      <w:tr w:rsidR="006D6ECE" w:rsidRPr="0019464C" w:rsidTr="00A702CD">
        <w:tc>
          <w:tcPr>
            <w:tcW w:w="2869" w:type="dxa"/>
            <w:shd w:val="clear" w:color="auto" w:fill="FFFFFF"/>
          </w:tcPr>
          <w:p w:rsidR="006D6ECE" w:rsidRPr="0019464C" w:rsidRDefault="006D6ECE" w:rsidP="009E70C5">
            <w:pPr>
              <w:rPr>
                <w:b/>
              </w:rPr>
            </w:pPr>
            <w:r w:rsidRPr="0019464C">
              <w:rPr>
                <w:b/>
              </w:rPr>
              <w:t>Семестровий контроль, екзаменаційна методика</w:t>
            </w:r>
          </w:p>
        </w:tc>
        <w:tc>
          <w:tcPr>
            <w:tcW w:w="7088" w:type="dxa"/>
            <w:gridSpan w:val="2"/>
          </w:tcPr>
          <w:p w:rsidR="006D6ECE" w:rsidRPr="0019464C" w:rsidRDefault="00007FF3" w:rsidP="009E70C5">
            <w:pPr>
              <w:rPr>
                <w:color w:val="000000"/>
                <w:shd w:val="clear" w:color="auto" w:fill="FFFFFF"/>
              </w:rPr>
            </w:pPr>
            <w:r>
              <w:rPr>
                <w:color w:val="000000"/>
                <w:shd w:val="clear" w:color="auto" w:fill="FFFFFF"/>
              </w:rPr>
              <w:t>Диференціальний залік</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Кафедра</w:t>
            </w:r>
          </w:p>
        </w:tc>
        <w:tc>
          <w:tcPr>
            <w:tcW w:w="7088" w:type="dxa"/>
            <w:gridSpan w:val="2"/>
          </w:tcPr>
          <w:p w:rsidR="006D6ECE" w:rsidRPr="0019464C" w:rsidRDefault="006D6ECE" w:rsidP="009E70C5">
            <w:pPr>
              <w:rPr>
                <w:color w:val="000000"/>
                <w:shd w:val="clear" w:color="auto" w:fill="FFFFFF"/>
              </w:rPr>
            </w:pPr>
            <w:r w:rsidRPr="0019464C">
              <w:t>Кафедра аерокосмічної геодезії та землеустрою</w:t>
            </w:r>
          </w:p>
        </w:tc>
      </w:tr>
      <w:tr w:rsidR="006D6ECE" w:rsidRPr="0019464C" w:rsidTr="00A702CD">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Факультет</w:t>
            </w:r>
          </w:p>
        </w:tc>
        <w:tc>
          <w:tcPr>
            <w:tcW w:w="7088" w:type="dxa"/>
            <w:gridSpan w:val="2"/>
          </w:tcPr>
          <w:p w:rsidR="006D6ECE" w:rsidRPr="0019464C" w:rsidRDefault="00671165" w:rsidP="009E70C5">
            <w:pPr>
              <w:rPr>
                <w:color w:val="000000"/>
                <w:shd w:val="clear" w:color="auto" w:fill="FFFFFF"/>
              </w:rPr>
            </w:pPr>
            <w:r w:rsidRPr="00671165">
              <w:t>наземних споруд і аеродромів</w:t>
            </w:r>
          </w:p>
        </w:tc>
      </w:tr>
      <w:tr w:rsidR="006D6ECE" w:rsidRPr="0019464C" w:rsidTr="00A702CD">
        <w:trPr>
          <w:trHeight w:val="1959"/>
        </w:trPr>
        <w:tc>
          <w:tcPr>
            <w:tcW w:w="2869" w:type="dxa"/>
            <w:shd w:val="clear" w:color="auto" w:fill="FFFFFF"/>
          </w:tcPr>
          <w:p w:rsidR="006D6ECE" w:rsidRPr="0019464C" w:rsidRDefault="006D6ECE" w:rsidP="009E70C5">
            <w:pPr>
              <w:rPr>
                <w:b/>
                <w:color w:val="000000"/>
                <w:shd w:val="clear" w:color="auto" w:fill="FFFFFF"/>
              </w:rPr>
            </w:pPr>
            <w:r w:rsidRPr="0019464C">
              <w:rPr>
                <w:b/>
                <w:color w:val="000000"/>
                <w:shd w:val="clear" w:color="auto" w:fill="FFFFFF"/>
              </w:rPr>
              <w:t>Викладач(і)</w:t>
            </w:r>
          </w:p>
        </w:tc>
        <w:tc>
          <w:tcPr>
            <w:tcW w:w="2235" w:type="dxa"/>
          </w:tcPr>
          <w:p w:rsidR="006D6ECE" w:rsidRPr="0019464C" w:rsidRDefault="006D6ECE" w:rsidP="00DC2993">
            <w:pPr>
              <w:jc w:val="center"/>
              <w:rPr>
                <w:b/>
              </w:rPr>
            </w:pPr>
          </w:p>
          <w:p w:rsidR="006D6ECE" w:rsidRPr="0019464C" w:rsidRDefault="00DC2993" w:rsidP="00DC2993">
            <w:pPr>
              <w:jc w:val="center"/>
              <w:rPr>
                <w:b/>
                <w:color w:val="000000"/>
                <w:shd w:val="clear" w:color="auto" w:fill="FFFFFF"/>
              </w:rPr>
            </w:pPr>
            <w:r w:rsidRPr="0058030B">
              <w:rPr>
                <w:b/>
                <w:noProof/>
                <w:lang w:eastAsia="uk-UA"/>
              </w:rPr>
              <w:drawing>
                <wp:inline distT="0" distB="0" distL="0" distR="0" wp14:anchorId="631C035F" wp14:editId="44BA32D2">
                  <wp:extent cx="1127760" cy="1438302"/>
                  <wp:effectExtent l="0" t="0" r="0" b="9525"/>
                  <wp:docPr id="1" name="Рисунок 1" descr="C:\Users\PC\AppData\Local\Microsoft\Windows\INetCache\Content.Word\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INetCache\Content.Word\фот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471" cy="1453237"/>
                          </a:xfrm>
                          <a:prstGeom prst="rect">
                            <a:avLst/>
                          </a:prstGeom>
                          <a:noFill/>
                          <a:ln>
                            <a:noFill/>
                          </a:ln>
                        </pic:spPr>
                      </pic:pic>
                    </a:graphicData>
                  </a:graphic>
                </wp:inline>
              </w:drawing>
            </w:r>
          </w:p>
        </w:tc>
        <w:tc>
          <w:tcPr>
            <w:tcW w:w="4853" w:type="dxa"/>
          </w:tcPr>
          <w:p w:rsidR="006D6ECE" w:rsidRPr="0019464C" w:rsidRDefault="0019464C" w:rsidP="009E70C5">
            <w:pPr>
              <w:rPr>
                <w:b/>
              </w:rPr>
            </w:pPr>
            <w:r>
              <w:rPr>
                <w:b/>
              </w:rPr>
              <w:t>БЕЛЕНОК ВАДИМ ЮРІЙОВИЧ</w:t>
            </w:r>
          </w:p>
          <w:p w:rsidR="006D6ECE" w:rsidRPr="0019464C" w:rsidRDefault="006D6ECE" w:rsidP="009E70C5">
            <w:pPr>
              <w:rPr>
                <w:b/>
              </w:rPr>
            </w:pPr>
            <w:r w:rsidRPr="0019464C">
              <w:rPr>
                <w:b/>
              </w:rPr>
              <w:t xml:space="preserve">Посада: </w:t>
            </w:r>
            <w:r w:rsidRPr="0019464C">
              <w:t>доцент</w:t>
            </w:r>
          </w:p>
          <w:p w:rsidR="006D6ECE" w:rsidRDefault="006D6ECE" w:rsidP="009E70C5">
            <w:r w:rsidRPr="0019464C">
              <w:rPr>
                <w:b/>
              </w:rPr>
              <w:t xml:space="preserve">Науковий ступінь: </w:t>
            </w:r>
            <w:r w:rsidRPr="0019464C">
              <w:t xml:space="preserve">кандидат </w:t>
            </w:r>
            <w:r w:rsidR="0019464C">
              <w:t>фізико-математичних</w:t>
            </w:r>
            <w:r w:rsidRPr="0019464C">
              <w:t xml:space="preserve"> наук</w:t>
            </w:r>
          </w:p>
          <w:p w:rsidR="0055514C" w:rsidRPr="0019464C" w:rsidRDefault="0055514C" w:rsidP="0055514C">
            <w:r>
              <w:rPr>
                <w:b/>
              </w:rPr>
              <w:t>Вчене звання</w:t>
            </w:r>
            <w:r w:rsidRPr="0019464C">
              <w:rPr>
                <w:b/>
              </w:rPr>
              <w:t>:</w:t>
            </w:r>
            <w:r w:rsidR="00C6148B">
              <w:rPr>
                <w:b/>
              </w:rPr>
              <w:t xml:space="preserve"> </w:t>
            </w:r>
            <w:r>
              <w:t>доцент</w:t>
            </w:r>
          </w:p>
          <w:p w:rsidR="00611202" w:rsidRPr="00611202" w:rsidRDefault="006D6ECE" w:rsidP="00611202">
            <w:pPr>
              <w:rPr>
                <w:bCs/>
              </w:rPr>
            </w:pPr>
            <w:r w:rsidRPr="0019464C">
              <w:rPr>
                <w:b/>
              </w:rPr>
              <w:t>Профайл викладача:</w:t>
            </w:r>
            <w:r w:rsidRPr="0019464C">
              <w:t xml:space="preserve"> </w:t>
            </w:r>
            <w:hyperlink r:id="rId9" w:history="1">
              <w:r w:rsidR="00611202" w:rsidRPr="00611202">
                <w:rPr>
                  <w:rStyle w:val="aa"/>
                  <w:bCs/>
                </w:rPr>
                <w:t>http://www.lib.nau.edu.ua/naukpraci/teacher.php?id=12227</w:t>
              </w:r>
            </w:hyperlink>
          </w:p>
          <w:p w:rsidR="006D6ECE" w:rsidRPr="0019464C" w:rsidRDefault="006D6ECE" w:rsidP="009E70C5">
            <w:r w:rsidRPr="0019464C">
              <w:rPr>
                <w:b/>
              </w:rPr>
              <w:t xml:space="preserve">Тел.: </w:t>
            </w:r>
            <w:r w:rsidRPr="0019464C">
              <w:t>(044) 406-77-58</w:t>
            </w:r>
          </w:p>
          <w:p w:rsidR="006D6ECE" w:rsidRPr="0019464C" w:rsidRDefault="006D6ECE" w:rsidP="009E70C5">
            <w:pPr>
              <w:rPr>
                <w:b/>
                <w:bCs/>
              </w:rPr>
            </w:pPr>
            <w:r w:rsidRPr="0019464C">
              <w:rPr>
                <w:b/>
              </w:rPr>
              <w:t xml:space="preserve">E-mail: </w:t>
            </w:r>
            <w:r w:rsidR="0019464C">
              <w:rPr>
                <w:shd w:val="clear" w:color="auto" w:fill="FFFFFF"/>
                <w:lang w:val="en-US"/>
              </w:rPr>
              <w:t>belenok</w:t>
            </w:r>
            <w:r w:rsidRPr="0019464C">
              <w:rPr>
                <w:shd w:val="clear" w:color="auto" w:fill="FFFFFF"/>
              </w:rPr>
              <w:t>.</w:t>
            </w:r>
            <w:r w:rsidR="0019464C">
              <w:rPr>
                <w:shd w:val="clear" w:color="auto" w:fill="FFFFFF"/>
                <w:lang w:val="en-US"/>
              </w:rPr>
              <w:t>vadim</w:t>
            </w:r>
            <w:r w:rsidRPr="0019464C">
              <w:rPr>
                <w:shd w:val="clear" w:color="auto" w:fill="FFFFFF"/>
              </w:rPr>
              <w:t>@nau.edu.ua</w:t>
            </w:r>
          </w:p>
          <w:p w:rsidR="006D6ECE" w:rsidRPr="0019464C" w:rsidRDefault="006D6ECE" w:rsidP="009E70C5">
            <w:pPr>
              <w:rPr>
                <w:b/>
                <w:color w:val="000000"/>
                <w:shd w:val="clear" w:color="auto" w:fill="FFFFFF"/>
              </w:rPr>
            </w:pPr>
            <w:r w:rsidRPr="0019464C">
              <w:rPr>
                <w:b/>
              </w:rPr>
              <w:t xml:space="preserve">Робоче місце: </w:t>
            </w:r>
            <w:r w:rsidR="0019464C">
              <w:rPr>
                <w:b/>
                <w:bCs/>
              </w:rPr>
              <w:t>3.508</w:t>
            </w:r>
            <w:r w:rsidRPr="0019464C">
              <w:rPr>
                <w:b/>
              </w:rPr>
              <w:t xml:space="preserve"> </w:t>
            </w:r>
          </w:p>
          <w:p w:rsidR="006D6ECE" w:rsidRPr="0019464C" w:rsidRDefault="006D6ECE" w:rsidP="009E70C5">
            <w:pPr>
              <w:rPr>
                <w:b/>
                <w:color w:val="000000"/>
                <w:shd w:val="clear" w:color="auto" w:fill="FFFFFF"/>
              </w:rPr>
            </w:pPr>
          </w:p>
        </w:tc>
      </w:tr>
      <w:tr w:rsidR="00B34BA4" w:rsidRPr="0019464C" w:rsidTr="00A702CD">
        <w:tc>
          <w:tcPr>
            <w:tcW w:w="2869" w:type="dxa"/>
            <w:shd w:val="clear" w:color="auto" w:fill="FFFFFF"/>
          </w:tcPr>
          <w:p w:rsidR="00B34BA4" w:rsidRPr="0019464C" w:rsidRDefault="00B34BA4" w:rsidP="00B34BA4">
            <w:pPr>
              <w:rPr>
                <w:b/>
              </w:rPr>
            </w:pPr>
            <w:r w:rsidRPr="0019464C">
              <w:rPr>
                <w:b/>
              </w:rPr>
              <w:t>Оригінальність навчальної дисципліни</w:t>
            </w:r>
          </w:p>
        </w:tc>
        <w:tc>
          <w:tcPr>
            <w:tcW w:w="7088" w:type="dxa"/>
            <w:gridSpan w:val="2"/>
          </w:tcPr>
          <w:p w:rsidR="00B34BA4" w:rsidRPr="005F44FC" w:rsidRDefault="00B34BA4" w:rsidP="00B34BA4">
            <w:pPr>
              <w:rPr>
                <w:rFonts w:eastAsia="Calibri"/>
                <w:color w:val="000000"/>
                <w:shd w:val="clear" w:color="auto" w:fill="FFFFFF"/>
                <w:lang w:eastAsia="en-US"/>
              </w:rPr>
            </w:pPr>
            <w:r w:rsidRPr="005F44FC">
              <w:rPr>
                <w:rFonts w:eastAsia="Calibri"/>
                <w:color w:val="000000"/>
                <w:shd w:val="clear" w:color="auto" w:fill="FFFFFF"/>
                <w:lang w:eastAsia="en-US"/>
              </w:rPr>
              <w:t>Авторський курс</w:t>
            </w:r>
          </w:p>
        </w:tc>
      </w:tr>
      <w:tr w:rsidR="00064B56" w:rsidRPr="0019464C" w:rsidTr="00A702CD">
        <w:tc>
          <w:tcPr>
            <w:tcW w:w="2869" w:type="dxa"/>
            <w:shd w:val="clear" w:color="auto" w:fill="FFFFFF"/>
          </w:tcPr>
          <w:p w:rsidR="00064B56" w:rsidRPr="0019464C" w:rsidRDefault="00064B56" w:rsidP="00064B56">
            <w:pPr>
              <w:rPr>
                <w:b/>
              </w:rPr>
            </w:pPr>
            <w:r w:rsidRPr="0019464C">
              <w:rPr>
                <w:b/>
              </w:rPr>
              <w:t>Лінк на дисципліну</w:t>
            </w:r>
          </w:p>
        </w:tc>
        <w:tc>
          <w:tcPr>
            <w:tcW w:w="7088" w:type="dxa"/>
            <w:gridSpan w:val="2"/>
          </w:tcPr>
          <w:p w:rsidR="00064B56" w:rsidRPr="005F44FC" w:rsidRDefault="00064B56" w:rsidP="00007FF3">
            <w:pPr>
              <w:rPr>
                <w:rFonts w:eastAsia="Calibri"/>
                <w:color w:val="000000"/>
                <w:shd w:val="clear" w:color="auto" w:fill="FFFFFF"/>
                <w:lang w:eastAsia="en-US"/>
              </w:rPr>
            </w:pPr>
            <w:r w:rsidRPr="005F44FC">
              <w:rPr>
                <w:rFonts w:eastAsia="Calibri"/>
                <w:color w:val="000000"/>
                <w:shd w:val="clear" w:color="auto" w:fill="FFFFFF"/>
                <w:lang w:eastAsia="en-US"/>
              </w:rPr>
              <w:t xml:space="preserve">Код доступу у Google Classroom: </w:t>
            </w:r>
          </w:p>
        </w:tc>
      </w:tr>
    </w:tbl>
    <w:p w:rsidR="006D6ECE" w:rsidRPr="0019464C" w:rsidRDefault="006D6ECE" w:rsidP="006D6ECE"/>
    <w:p w:rsidR="006D6ECE" w:rsidRPr="0019464C" w:rsidRDefault="006D6ECE" w:rsidP="006D6ECE"/>
    <w:p w:rsidR="00CE1375" w:rsidRPr="0019464C" w:rsidRDefault="00CE1375"/>
    <w:sectPr w:rsidR="00CE1375" w:rsidRPr="0019464C" w:rsidSect="0095720B">
      <w:headerReference w:type="default" r:id="rId10"/>
      <w:footerReference w:type="even" r:id="rId11"/>
      <w:pgSz w:w="11907" w:h="16840" w:code="9"/>
      <w:pgMar w:top="1134" w:right="567" w:bottom="851" w:left="1418" w:header="709" w:footer="709" w:gutter="0"/>
      <w:cols w:space="708"/>
      <w:titlePg/>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6E" w:rsidRDefault="00124D6E">
      <w:r>
        <w:separator/>
      </w:r>
    </w:p>
  </w:endnote>
  <w:endnote w:type="continuationSeparator" w:id="0">
    <w:p w:rsidR="00124D6E" w:rsidRDefault="0012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6B" w:rsidRDefault="006D6E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1C6B" w:rsidRDefault="00124D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6E" w:rsidRDefault="00124D6E">
      <w:r>
        <w:separator/>
      </w:r>
    </w:p>
  </w:footnote>
  <w:footnote w:type="continuationSeparator" w:id="0">
    <w:p w:rsidR="00124D6E" w:rsidRDefault="0012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6B" w:rsidRPr="002548E5" w:rsidRDefault="00124D6E" w:rsidP="0095720B">
    <w:pPr>
      <w:pStyle w:val="a6"/>
      <w:tabs>
        <w:tab w:val="clear" w:pos="9355"/>
        <w:tab w:val="right" w:pos="9072"/>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2F21"/>
    <w:multiLevelType w:val="multilevel"/>
    <w:tmpl w:val="DF9C1E40"/>
    <w:lvl w:ilvl="0">
      <w:start w:val="3"/>
      <w:numFmt w:val="decimal"/>
      <w:suff w:val="space"/>
      <w:lvlText w:val="%1."/>
      <w:lvlJc w:val="left"/>
      <w:pPr>
        <w:ind w:left="360" w:hanging="360"/>
      </w:pPr>
      <w:rPr>
        <w:rFonts w:hint="default"/>
        <w:b w:val="0"/>
        <w:vertAlign w:val="baseline"/>
      </w:rPr>
    </w:lvl>
    <w:lvl w:ilvl="1">
      <w:start w:val="2"/>
      <w:numFmt w:val="decimal"/>
      <w:suff w:val="space"/>
      <w:lvlText w:val="%1.%2."/>
      <w:lvlJc w:val="left"/>
      <w:pPr>
        <w:ind w:left="720" w:hanging="360"/>
      </w:pPr>
      <w:rPr>
        <w:rFonts w:hint="default"/>
        <w:b w:val="0"/>
        <w:vertAlign w:val="baseline"/>
      </w:rPr>
    </w:lvl>
    <w:lvl w:ilvl="2">
      <w:start w:val="1"/>
      <w:numFmt w:val="decimal"/>
      <w:lvlText w:val="%1.%2.%3."/>
      <w:lvlJc w:val="left"/>
      <w:pPr>
        <w:ind w:left="2422" w:hanging="720"/>
      </w:pPr>
      <w:rPr>
        <w:rFonts w:hint="default"/>
        <w:b w:val="0"/>
        <w:sz w:val="28"/>
        <w:szCs w:val="28"/>
        <w:vertAlign w:val="baseline"/>
      </w:rPr>
    </w:lvl>
    <w:lvl w:ilvl="3">
      <w:start w:val="1"/>
      <w:numFmt w:val="decimal"/>
      <w:lvlText w:val="(%4)"/>
      <w:lvlJc w:val="left"/>
      <w:pPr>
        <w:ind w:left="1440" w:hanging="360"/>
      </w:pPr>
      <w:rPr>
        <w:rFonts w:hint="default"/>
        <w:b w:val="0"/>
        <w:vertAlign w:val="baseline"/>
      </w:rPr>
    </w:lvl>
    <w:lvl w:ilvl="4">
      <w:start w:val="1"/>
      <w:numFmt w:val="lowerLetter"/>
      <w:lvlText w:val="(%5)"/>
      <w:lvlJc w:val="left"/>
      <w:pPr>
        <w:ind w:left="1800" w:hanging="360"/>
      </w:pPr>
      <w:rPr>
        <w:rFonts w:hint="default"/>
        <w:b w:val="0"/>
        <w:vertAlign w:val="baseline"/>
      </w:rPr>
    </w:lvl>
    <w:lvl w:ilvl="5">
      <w:start w:val="1"/>
      <w:numFmt w:val="lowerRoman"/>
      <w:lvlText w:val="(%6)"/>
      <w:lvlJc w:val="left"/>
      <w:pPr>
        <w:ind w:left="2160" w:hanging="360"/>
      </w:pPr>
      <w:rPr>
        <w:rFonts w:hint="default"/>
        <w:b w:val="0"/>
        <w:vertAlign w:val="baseline"/>
      </w:rPr>
    </w:lvl>
    <w:lvl w:ilvl="6">
      <w:start w:val="1"/>
      <w:numFmt w:val="decimal"/>
      <w:lvlText w:val="%7."/>
      <w:lvlJc w:val="left"/>
      <w:pPr>
        <w:ind w:left="2520" w:hanging="360"/>
      </w:pPr>
      <w:rPr>
        <w:rFonts w:hint="default"/>
        <w:b w:val="0"/>
        <w:vertAlign w:val="baseline"/>
      </w:rPr>
    </w:lvl>
    <w:lvl w:ilvl="7">
      <w:start w:val="1"/>
      <w:numFmt w:val="lowerLetter"/>
      <w:lvlText w:val="%8."/>
      <w:lvlJc w:val="left"/>
      <w:pPr>
        <w:ind w:left="2880" w:hanging="360"/>
      </w:pPr>
      <w:rPr>
        <w:rFonts w:hint="default"/>
        <w:b w:val="0"/>
        <w:vertAlign w:val="baseline"/>
      </w:rPr>
    </w:lvl>
    <w:lvl w:ilvl="8">
      <w:start w:val="1"/>
      <w:numFmt w:val="lowerRoman"/>
      <w:lvlText w:val="%9."/>
      <w:lvlJc w:val="left"/>
      <w:pPr>
        <w:ind w:left="3240" w:hanging="360"/>
      </w:pPr>
      <w:rPr>
        <w:rFonts w:hint="default"/>
        <w:b w:val="0"/>
        <w:vertAlign w:val="baseline"/>
      </w:rPr>
    </w:lvl>
  </w:abstractNum>
  <w:abstractNum w:abstractNumId="1" w15:restartNumberingAfterBreak="0">
    <w:nsid w:val="30FD24AE"/>
    <w:multiLevelType w:val="hybridMultilevel"/>
    <w:tmpl w:val="A620CA52"/>
    <w:lvl w:ilvl="0" w:tplc="C7B64E8C">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6C704084"/>
    <w:multiLevelType w:val="multilevel"/>
    <w:tmpl w:val="6FFA40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6C4D72"/>
    <w:multiLevelType w:val="hybridMultilevel"/>
    <w:tmpl w:val="414EBD44"/>
    <w:lvl w:ilvl="0" w:tplc="8DD82A68">
      <w:start w:val="1"/>
      <w:numFmt w:val="decimal"/>
      <w:lvlText w:val="%1."/>
      <w:lvlJc w:val="center"/>
      <w:pPr>
        <w:ind w:left="720" w:hanging="360"/>
      </w:pPr>
      <w:rPr>
        <w:rFonts w:ascii="Times New Roman" w:hAnsi="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66F449F"/>
    <w:multiLevelType w:val="multilevel"/>
    <w:tmpl w:val="85E67256"/>
    <w:lvl w:ilvl="0">
      <w:start w:val="2"/>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CE"/>
    <w:rsid w:val="00007FF3"/>
    <w:rsid w:val="000638DB"/>
    <w:rsid w:val="00064B56"/>
    <w:rsid w:val="000C2C0B"/>
    <w:rsid w:val="00124D6E"/>
    <w:rsid w:val="00163E92"/>
    <w:rsid w:val="0019464C"/>
    <w:rsid w:val="001B3AAF"/>
    <w:rsid w:val="002E50AF"/>
    <w:rsid w:val="004324FA"/>
    <w:rsid w:val="004A127D"/>
    <w:rsid w:val="0055514C"/>
    <w:rsid w:val="00611202"/>
    <w:rsid w:val="00622E76"/>
    <w:rsid w:val="00671165"/>
    <w:rsid w:val="00682827"/>
    <w:rsid w:val="00683369"/>
    <w:rsid w:val="006C0316"/>
    <w:rsid w:val="006D6ECE"/>
    <w:rsid w:val="007112F9"/>
    <w:rsid w:val="007242DF"/>
    <w:rsid w:val="007B56BD"/>
    <w:rsid w:val="00947E37"/>
    <w:rsid w:val="00982C17"/>
    <w:rsid w:val="009C163E"/>
    <w:rsid w:val="00A53B54"/>
    <w:rsid w:val="00A702CD"/>
    <w:rsid w:val="00AB1D87"/>
    <w:rsid w:val="00B0018B"/>
    <w:rsid w:val="00B17707"/>
    <w:rsid w:val="00B217E6"/>
    <w:rsid w:val="00B34BA4"/>
    <w:rsid w:val="00B77575"/>
    <w:rsid w:val="00BD27C1"/>
    <w:rsid w:val="00C6148B"/>
    <w:rsid w:val="00CE1375"/>
    <w:rsid w:val="00D06626"/>
    <w:rsid w:val="00D32631"/>
    <w:rsid w:val="00D76CA5"/>
    <w:rsid w:val="00D84F36"/>
    <w:rsid w:val="00DB6256"/>
    <w:rsid w:val="00DC2993"/>
    <w:rsid w:val="00E82E6B"/>
    <w:rsid w:val="00F34D17"/>
    <w:rsid w:val="00F7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4187A"/>
  <w15:chartTrackingRefBased/>
  <w15:docId w15:val="{3801BC34-A76B-44ED-B9D6-44C4BABE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EC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D6ECE"/>
    <w:pPr>
      <w:tabs>
        <w:tab w:val="center" w:pos="4677"/>
        <w:tab w:val="right" w:pos="9355"/>
      </w:tabs>
    </w:pPr>
  </w:style>
  <w:style w:type="character" w:customStyle="1" w:styleId="a4">
    <w:name w:val="Нижний колонтитул Знак"/>
    <w:basedOn w:val="a0"/>
    <w:link w:val="a3"/>
    <w:rsid w:val="006D6ECE"/>
    <w:rPr>
      <w:rFonts w:ascii="Times New Roman" w:eastAsia="Times New Roman" w:hAnsi="Times New Roman" w:cs="Times New Roman"/>
      <w:sz w:val="24"/>
      <w:szCs w:val="24"/>
      <w:lang w:val="uk-UA" w:eastAsia="ru-RU"/>
    </w:rPr>
  </w:style>
  <w:style w:type="character" w:styleId="a5">
    <w:name w:val="page number"/>
    <w:basedOn w:val="a0"/>
    <w:rsid w:val="006D6ECE"/>
  </w:style>
  <w:style w:type="paragraph" w:styleId="a6">
    <w:name w:val="header"/>
    <w:basedOn w:val="a"/>
    <w:link w:val="a7"/>
    <w:rsid w:val="006D6ECE"/>
    <w:pPr>
      <w:tabs>
        <w:tab w:val="center" w:pos="4677"/>
        <w:tab w:val="right" w:pos="9355"/>
      </w:tabs>
    </w:pPr>
  </w:style>
  <w:style w:type="character" w:customStyle="1" w:styleId="a7">
    <w:name w:val="Верхний колонтитул Знак"/>
    <w:basedOn w:val="a0"/>
    <w:link w:val="a6"/>
    <w:rsid w:val="006D6ECE"/>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6D6ECE"/>
    <w:pPr>
      <w:widowControl w:val="0"/>
      <w:autoSpaceDE w:val="0"/>
      <w:autoSpaceDN w:val="0"/>
      <w:ind w:left="720"/>
      <w:contextualSpacing/>
    </w:pPr>
    <w:rPr>
      <w:noProof/>
    </w:rPr>
  </w:style>
  <w:style w:type="paragraph" w:styleId="a9">
    <w:name w:val="No Spacing"/>
    <w:uiPriority w:val="1"/>
    <w:qFormat/>
    <w:rsid w:val="006D6ECE"/>
    <w:pPr>
      <w:spacing w:after="0" w:line="240" w:lineRule="auto"/>
    </w:pPr>
    <w:rPr>
      <w:rFonts w:ascii="Calibri" w:eastAsia="Calibri" w:hAnsi="Calibri" w:cs="Times New Roman"/>
      <w:lang w:val="uk-UA"/>
    </w:rPr>
  </w:style>
  <w:style w:type="character" w:styleId="aa">
    <w:name w:val="Hyperlink"/>
    <w:basedOn w:val="a0"/>
    <w:uiPriority w:val="99"/>
    <w:unhideWhenUsed/>
    <w:rsid w:val="00611202"/>
    <w:rPr>
      <w:color w:val="0563C1" w:themeColor="hyperlink"/>
      <w:u w:val="single"/>
    </w:rPr>
  </w:style>
  <w:style w:type="character" w:styleId="ab">
    <w:name w:val="FollowedHyperlink"/>
    <w:basedOn w:val="a0"/>
    <w:uiPriority w:val="99"/>
    <w:semiHidden/>
    <w:unhideWhenUsed/>
    <w:rsid w:val="00C61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nau.edu.ua/naukpraci/teacher.php?id=12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3990</Words>
  <Characters>2275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Носок Денис</dc:creator>
  <cp:keywords/>
  <dc:description/>
  <cp:lastModifiedBy>Вадим</cp:lastModifiedBy>
  <cp:revision>34</cp:revision>
  <dcterms:created xsi:type="dcterms:W3CDTF">2021-06-06T19:06:00Z</dcterms:created>
  <dcterms:modified xsi:type="dcterms:W3CDTF">2024-01-30T21:31:00Z</dcterms:modified>
</cp:coreProperties>
</file>