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right="0"/>
        <w:jc w:val="right"/>
        <w:rPr/>
      </w:pPr>
      <w:r>
        <w:rPr>
          <w:rFonts w:eastAsia="Times New Roman"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(Ф 21.01 - 02)</w:t>
      </w:r>
    </w:p>
    <w:tbl>
      <w:tblPr>
        <w:tblW w:w="10421" w:type="dxa"/>
        <w:jc w:val="left"/>
        <w:tblInd w:w="-34" w:type="dxa"/>
        <w:tblLayout w:type="fixed"/>
        <w:tblCellMar>
          <w:top w:w="0" w:type="dxa"/>
          <w:left w:w="108" w:type="dxa"/>
          <w:bottom w:w="0" w:type="dxa"/>
          <w:right w:w="108" w:type="dxa"/>
        </w:tblCellMar>
      </w:tblPr>
      <w:tblGrid>
        <w:gridCol w:w="2977"/>
        <w:gridCol w:w="2690"/>
        <w:gridCol w:w="4753"/>
      </w:tblGrid>
      <w:tr>
        <w:trPr>
          <w:trHeight w:val="2411" w:hRule="atLeast"/>
        </w:trPr>
        <w:tc>
          <w:tcPr>
            <w:tcW w:w="2977" w:type="dxa"/>
            <w:tcBorders>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
                <w:color w:val="000000"/>
                <w:sz w:val="16"/>
                <w:szCs w:val="16"/>
                <w:shd w:fill="FFFFFF" w:val="clear"/>
                <w:lang w:val="ru-RU" w:eastAsia="uk-UA"/>
              </w:rPr>
            </w:pPr>
            <w:r>
              <w:rPr>
                <w:rFonts w:cs="Times New Roman" w:ascii="Times New Roman" w:hAnsi="Times New Roman"/>
                <w:b/>
                <w:color w:val="000000"/>
                <w:sz w:val="16"/>
                <w:szCs w:val="16"/>
                <w:shd w:fill="FFFFFF" w:val="clear"/>
                <w:lang w:val="ru-RU" w:eastAsia="uk-UA"/>
              </w:rPr>
              <w:drawing>
                <wp:anchor behindDoc="0" distT="0" distB="0" distL="114935" distR="114935" simplePos="0" locked="0" layoutInCell="1" allowOverlap="1" relativeHeight="2">
                  <wp:simplePos x="0" y="0"/>
                  <wp:positionH relativeFrom="column">
                    <wp:posOffset>103505</wp:posOffset>
                  </wp:positionH>
                  <wp:positionV relativeFrom="paragraph">
                    <wp:posOffset>635</wp:posOffset>
                  </wp:positionV>
                  <wp:extent cx="1572260" cy="1442720"/>
                  <wp:effectExtent l="0" t="0" r="0" b="0"/>
                  <wp:wrapTight wrapText="bothSides">
                    <wp:wrapPolygon edited="0">
                      <wp:start x="-130" y="0"/>
                      <wp:lineTo x="-130" y="21426"/>
                      <wp:lineTo x="21574" y="21426"/>
                      <wp:lineTo x="21574" y="0"/>
                      <wp:lineTo x="-130" y="0"/>
                    </wp:wrapPolygon>
                  </wp:wrapTight>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rcRect l="-46" t="-50" r="-46" b="-50"/>
                          <a:stretch>
                            <a:fillRect/>
                          </a:stretch>
                        </pic:blipFill>
                        <pic:spPr bwMode="auto">
                          <a:xfrm>
                            <a:off x="0" y="0"/>
                            <a:ext cx="1572260" cy="1442720"/>
                          </a:xfrm>
                          <a:prstGeom prst="rect">
                            <a:avLst/>
                          </a:prstGeom>
                        </pic:spPr>
                      </pic:pic>
                    </a:graphicData>
                  </a:graphic>
                </wp:anchor>
              </w:drawing>
            </w:r>
          </w:p>
        </w:tc>
        <w:tc>
          <w:tcPr>
            <w:tcW w:w="7443" w:type="dxa"/>
            <w:gridSpan w:val="2"/>
            <w:tcBorders>
              <w:top w:val="single" w:sz="4" w:space="0" w:color="000000"/>
              <w:left w:val="single" w:sz="4" w:space="0" w:color="000000"/>
              <w:bottom w:val="single" w:sz="4" w:space="0" w:color="000000"/>
              <w:right w:val="single" w:sz="4" w:space="0" w:color="000000"/>
            </w:tcBorders>
            <w:shd w:fill="BFBFBF" w:val="clear"/>
            <w:vAlign w:val="center"/>
          </w:tcPr>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Силабус навчальної дисципліни</w:t>
            </w:r>
          </w:p>
          <w:p>
            <w:pPr>
              <w:pStyle w:val="Normal"/>
              <w:spacing w:lineRule="auto" w:line="240" w:before="0" w:after="0"/>
              <w:jc w:val="center"/>
              <w:rPr/>
            </w:pPr>
            <w:r>
              <w:rPr>
                <w:rFonts w:cs="Times New Roman" w:ascii="Times New Roman" w:hAnsi="Times New Roman"/>
                <w:b/>
                <w:sz w:val="24"/>
                <w:szCs w:val="24"/>
              </w:rPr>
              <w:t>«</w:t>
            </w:r>
            <w:r>
              <w:rPr>
                <w:rFonts w:cs="Times New Roman" w:ascii="Times New Roman" w:hAnsi="Times New Roman"/>
                <w:b/>
                <w:sz w:val="24"/>
                <w:szCs w:val="24"/>
                <w:lang w:eastAsia="ru-RU"/>
              </w:rPr>
              <w:t>Мережевий аналіз в ГІС</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Спеціальність: 193 Геодезія та землеустрій</w:t>
            </w:r>
          </w:p>
          <w:p>
            <w:pPr>
              <w:pStyle w:val="Normal"/>
              <w:spacing w:lineRule="auto" w:line="240" w:before="0" w:after="0"/>
              <w:jc w:val="center"/>
              <w:rPr>
                <w:rFonts w:ascii="Times New Roman" w:hAnsi="Times New Roman" w:cs="Times New Roman"/>
                <w:b/>
                <w:color w:val="000000"/>
                <w:sz w:val="24"/>
                <w:szCs w:val="24"/>
                <w:shd w:fill="FFFFFF" w:val="clear"/>
              </w:rPr>
            </w:pPr>
            <w:r>
              <w:rPr>
                <w:rFonts w:cs="Times New Roman" w:ascii="Times New Roman" w:hAnsi="Times New Roman"/>
                <w:b/>
                <w:sz w:val="24"/>
                <w:szCs w:val="24"/>
              </w:rPr>
              <w:t>Галузь знань: 19 Архітектура та будівництво</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Рівень вищої освіти</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Другий (бакалаврський)</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Статус дисципліни</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Професійно-орієнтована навчальна дисципліна вибіркового компонента</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Курс</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lang w:val="en-US"/>
              </w:rPr>
              <w:t>3</w:t>
            </w:r>
            <w:r>
              <w:rPr>
                <w:rFonts w:cs="Times New Roman" w:ascii="Times New Roman" w:hAnsi="Times New Roman"/>
                <w:color w:val="000000"/>
                <w:sz w:val="24"/>
                <w:szCs w:val="24"/>
                <w:shd w:fill="FFFFFF" w:val="clear"/>
              </w:rPr>
              <w:t xml:space="preserve"> (третій)</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Семестр</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6 (шостий)</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Обсяг дисципліни, кредити ЄКТС</w:t>
            </w:r>
            <w:r>
              <w:rPr>
                <w:rFonts w:cs="Times New Roman" w:ascii="Times New Roman" w:hAnsi="Times New Roman"/>
                <w:b/>
                <w:sz w:val="24"/>
                <w:szCs w:val="24"/>
                <w:lang w:val="ru-RU"/>
              </w:rPr>
              <w:t>/</w:t>
            </w:r>
            <w:r>
              <w:rPr>
                <w:rFonts w:cs="Times New Roman" w:ascii="Times New Roman" w:hAnsi="Times New Roman"/>
                <w:b/>
                <w:sz w:val="24"/>
                <w:szCs w:val="24"/>
              </w:rPr>
              <w:t>загальна кількість годин</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lang w:val="en-US"/>
              </w:rPr>
              <w:t>4</w:t>
            </w:r>
            <w:r>
              <w:rPr>
                <w:rFonts w:cs="Times New Roman" w:ascii="Times New Roman" w:hAnsi="Times New Roman"/>
                <w:color w:val="000000"/>
                <w:sz w:val="24"/>
                <w:szCs w:val="24"/>
                <w:shd w:fill="FFFFFF" w:val="clear"/>
              </w:rPr>
              <w:t xml:space="preserve"> кредити</w:t>
            </w:r>
            <w:r>
              <w:rPr>
                <w:rFonts w:cs="Times New Roman" w:ascii="Times New Roman" w:hAnsi="Times New Roman"/>
                <w:color w:val="000000"/>
                <w:sz w:val="24"/>
                <w:szCs w:val="24"/>
                <w:shd w:fill="FFFFFF" w:val="clear"/>
                <w:lang w:val="en-US"/>
              </w:rPr>
              <w:t>/12</w:t>
            </w:r>
            <w:r>
              <w:rPr>
                <w:rFonts w:cs="Times New Roman" w:ascii="Times New Roman" w:hAnsi="Times New Roman"/>
                <w:color w:val="000000"/>
                <w:sz w:val="24"/>
                <w:szCs w:val="24"/>
                <w:shd w:fill="FFFFFF" w:val="clear"/>
              </w:rPr>
              <w:t>0 годин</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Мова викладання</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українська</w:t>
            </w:r>
          </w:p>
        </w:tc>
      </w:tr>
      <w:tr>
        <w:trPr>
          <w:trHeight w:val="1221"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sz w:val="24"/>
                <w:szCs w:val="24"/>
              </w:rPr>
              <w:t>Що буде вивчатися (предмет вивчення)</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Фундаментальні теоретичні та практичні знання з питань мережевого аналізу в ГІС, включаючи топологічні і геометричні властивості лінійних просторових об’єктів, що утворюють деревоподібні чи циклічні мережі.</w:t>
            </w:r>
          </w:p>
        </w:tc>
      </w:tr>
      <w:tr>
        <w:trPr>
          <w:trHeight w:val="980"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sz w:val="24"/>
                <w:szCs w:val="24"/>
              </w:rPr>
              <w:t>Чому це цікаво/треба вивчати (мета)</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Здобувачі навчаться моделювати, візуалізувати та аналізувати складні взаємозв’язки в просторових даних, що представлені у вигляді мережі. Це включає оптимізацію маршрутів, аналіз доступності, моделювання потоків та інше. Ці навички є особливо цінними в галузях, де просторові взаємозв’язки відіграють ключову роль, таких як логістика, містобудування, екологія та геодезія. Зокрема, вони дозволяють ГІС-спеціалістам вирішувати реальні проблеми, пов’язані з просторовим плануванням та управлінням.</w:t>
            </w:r>
          </w:p>
        </w:tc>
      </w:tr>
      <w:tr>
        <w:trPr>
          <w:trHeight w:val="1327"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Чому можна навчитися (результати навчання)</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1. Розуміти основні принципи мережевого аналізу в ГІС, включаючи топологічні і геометричні властивості лінійних просторових об’єктів, що утворюють деревоподібні чи циклічні мережі.</w:t>
            </w:r>
          </w:p>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2. Використовувати мережевий аналіз для розв’язання різних завдань, таких як пошук найкоротшого шляху, пошук найближчих об’єктів, аналіз транспортних систем тощо.</w:t>
            </w:r>
          </w:p>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3. Застосовувати мережевий аналіз в ГІС для проведення просторового аналізу.</w:t>
            </w:r>
          </w:p>
          <w:p>
            <w:pPr>
              <w:pStyle w:val="Normal"/>
              <w:spacing w:lineRule="auto" w:line="240" w:before="0" w:after="0"/>
              <w:rPr/>
            </w:pPr>
            <w:r>
              <w:rPr>
                <w:rFonts w:cs="Times New Roman" w:ascii="Times New Roman" w:hAnsi="Times New Roman"/>
                <w:color w:val="000000"/>
                <w:sz w:val="24"/>
                <w:szCs w:val="24"/>
                <w:shd w:fill="FFFFFF" w:val="clear"/>
              </w:rPr>
              <w:t>4. Розробляти та впроваджувати стратегії для ефективного використання мережевого аналізу в ГІС в різних областях, включаючи геодезію, землеустрій, містобудування, транспортне планування, екологію та інше.</w:t>
            </w:r>
          </w:p>
        </w:tc>
      </w:tr>
      <w:tr>
        <w:trPr>
          <w:trHeight w:val="1825"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Як можна користуватися набутими знаннями і уміннями (компетентності)</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1. Використовуючи мережевий аналіз, студенти зможуть аналізувати та оптимізувати маршрути в транспортних мережах або інших мережевих структурах.</w:t>
            </w:r>
          </w:p>
          <w:p>
            <w:pPr>
              <w:pStyle w:val="Normal"/>
              <w:spacing w:lineRule="auto" w:line="240" w:before="0" w:after="0"/>
              <w:rPr/>
            </w:pPr>
            <w:r>
              <w:rPr>
                <w:rFonts w:cs="Times New Roman" w:ascii="Times New Roman" w:hAnsi="Times New Roman"/>
                <w:color w:val="000000"/>
                <w:sz w:val="24"/>
                <w:szCs w:val="24"/>
                <w:shd w:fill="FFFFFF" w:val="clear"/>
              </w:rPr>
              <w:t>2. Студенти зможуть проводити просторовий аналіз, включаючи визначення доступності різних об’єктів та місць в мережі.</w:t>
            </w:r>
          </w:p>
          <w:p>
            <w:pPr>
              <w:pStyle w:val="Normal"/>
              <w:spacing w:lineRule="auto" w:line="240" w:before="0" w:after="0"/>
              <w:rPr/>
            </w:pPr>
            <w:r>
              <w:rPr>
                <w:rFonts w:cs="Times New Roman" w:ascii="Times New Roman" w:hAnsi="Times New Roman"/>
                <w:color w:val="000000"/>
                <w:sz w:val="24"/>
                <w:szCs w:val="24"/>
                <w:shd w:fill="FFFFFF" w:val="clear"/>
              </w:rPr>
              <w:t>3. Застосування мережевого аналізу для моделювання та вирішення реальних проблем, пов’язаних з просторовим плануванням та управлінням.</w:t>
            </w:r>
          </w:p>
          <w:p>
            <w:pPr>
              <w:pStyle w:val="Normal"/>
              <w:spacing w:lineRule="auto" w:line="240" w:before="0" w:after="0"/>
              <w:rPr/>
            </w:pPr>
            <w:r>
              <w:rPr>
                <w:rFonts w:cs="Times New Roman" w:ascii="Times New Roman" w:hAnsi="Times New Roman"/>
                <w:color w:val="000000"/>
                <w:sz w:val="24"/>
                <w:szCs w:val="24"/>
                <w:shd w:fill="FFFFFF" w:val="clear"/>
              </w:rPr>
              <w:t>4. Здатність використовувати та впроваджувати сучасні геоінформаційні технології в транспортно-навігаційних ГІС з метою підвищення їх ефективності.</w:t>
            </w:r>
          </w:p>
        </w:tc>
      </w:tr>
      <w:tr>
        <w:trPr>
          <w:trHeight w:val="409"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Навчальна логістика</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b/>
                <w:sz w:val="24"/>
                <w:szCs w:val="24"/>
              </w:rPr>
              <w:t>Зміст дисципліни:</w:t>
            </w:r>
            <w:r>
              <w:rPr>
                <w:rFonts w:cs="Times New Roman" w:ascii="Times New Roman" w:hAnsi="Times New Roman"/>
                <w:sz w:val="24"/>
                <w:szCs w:val="24"/>
              </w:rPr>
              <w:t xml:space="preserve"> Основні поняття та принципи мережевого аналізу, включаючи топологічні і геометричні властивості мереж. Створення та редагування мережі в ГІС, включаючи визначення вузлів, ребер та атрибутів мережі. Основні алгоритми та операції, що використовуються в мережевому аналізі, таких як пошук найкоротшого шляху, пошук найближчих об’єктів, аналіз доступності та інше. Застосування мережевого аналізу для моделювання та оптимізації транспортних систем. Використання мережевого аналізу для планування міст та аналізу урбаністичних систем. Застосування мережевого аналізу для моделювання екологічних систем та планування природоохоронних заходів. Приклади використання мережевого аналізу в геодезії та землеустрої, включаючи планування земельних ділянок та аналіз земельних ресурсів.</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 xml:space="preserve">Види занять: </w:t>
            </w:r>
            <w:r>
              <w:rPr>
                <w:rFonts w:cs="Times New Roman" w:ascii="Times New Roman" w:hAnsi="Times New Roman"/>
                <w:sz w:val="24"/>
                <w:szCs w:val="24"/>
              </w:rPr>
              <w:t>лекції, лабораторні</w:t>
            </w:r>
          </w:p>
          <w:p>
            <w:pPr>
              <w:pStyle w:val="Normal"/>
              <w:spacing w:lineRule="auto" w:line="240" w:before="0" w:after="0"/>
              <w:rPr>
                <w:rFonts w:ascii="Times New Roman" w:hAnsi="Times New Roman" w:cs="Times New Roman"/>
                <w:b/>
                <w:sz w:val="24"/>
                <w:szCs w:val="24"/>
                <w:lang w:val="ru-RU"/>
              </w:rPr>
            </w:pPr>
            <w:r>
              <w:rPr>
                <w:rFonts w:cs="Times New Roman" w:ascii="Times New Roman" w:hAnsi="Times New Roman"/>
                <w:b/>
                <w:sz w:val="24"/>
                <w:szCs w:val="24"/>
              </w:rPr>
              <w:t xml:space="preserve">Методи навчання: </w:t>
            </w:r>
            <w:r>
              <w:rPr>
                <w:rFonts w:cs="Times New Roman" w:ascii="Times New Roman" w:hAnsi="Times New Roman"/>
                <w:sz w:val="24"/>
                <w:szCs w:val="24"/>
              </w:rPr>
              <w:t xml:space="preserve">навчальна дискусія, </w:t>
            </w:r>
            <w:r>
              <w:rPr>
                <w:rFonts w:cs="Times New Roman" w:ascii="Times New Roman" w:hAnsi="Times New Roman"/>
                <w:sz w:val="24"/>
                <w:szCs w:val="24"/>
                <w:shd w:fill="FFFFFF" w:val="clear"/>
              </w:rPr>
              <w:t>онлайн</w:t>
            </w:r>
          </w:p>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sz w:val="24"/>
                <w:szCs w:val="24"/>
              </w:rPr>
              <w:t xml:space="preserve">Форми навчання: </w:t>
            </w:r>
            <w:r>
              <w:rPr>
                <w:rFonts w:cs="Times New Roman" w:ascii="Times New Roman" w:hAnsi="Times New Roman"/>
                <w:sz w:val="24"/>
                <w:szCs w:val="24"/>
              </w:rPr>
              <w:t>очна</w:t>
            </w:r>
          </w:p>
        </w:tc>
      </w:tr>
      <w:tr>
        <w:trPr>
          <w:trHeight w:val="698"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Пререквізити</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rPr>
              <w:t>Загальні знання таких навчальних дисциплін, як «Геоінформаційні системи і бази даних».</w:t>
            </w:r>
          </w:p>
        </w:tc>
      </w:tr>
      <w:tr>
        <w:trPr>
          <w:trHeight w:val="601"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highlight w:val="lightGray"/>
              </w:rPr>
            </w:pPr>
            <w:r>
              <w:rPr>
                <w:rFonts w:cs="Times New Roman" w:ascii="Times New Roman" w:hAnsi="Times New Roman"/>
                <w:b/>
                <w:sz w:val="24"/>
                <w:szCs w:val="24"/>
              </w:rPr>
              <w:t>Пореквізити</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Знання, отримані при вивченні навчальної дисципліни можуть бути використані при вивченні навчальної дисципліни «Геоінформаційний аналіз» та під час написання кваліфікаційної бакалаврської роботи.</w:t>
            </w:r>
          </w:p>
        </w:tc>
      </w:tr>
      <w:tr>
        <w:trPr>
          <w:trHeight w:val="2837"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Інформаційне забезпечення</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з репозитарію та фонду НТБ НАУ</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color w:val="000000"/>
                <w:sz w:val="24"/>
                <w:szCs w:val="24"/>
                <w:shd w:fill="FFFFFF" w:val="clear"/>
              </w:rPr>
              <w:t>Науково-технічна бібліотека НАУ:</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 xml:space="preserve">Зацерковний В.І., Железняк О.О., Кислюк В.С., </w:t>
            </w:r>
            <w:r>
              <w:rPr>
                <w:rFonts w:cs="Times New Roman" w:ascii="Times New Roman" w:hAnsi="Times New Roman"/>
                <w:b w:val="false"/>
                <w:bCs w:val="false"/>
                <w:sz w:val="24"/>
                <w:szCs w:val="24"/>
              </w:rPr>
              <w:t>Ніколаєнко О.Є.</w:t>
            </w:r>
            <w:r>
              <w:rPr>
                <w:rFonts w:cs="Times New Roman" w:ascii="Times New Roman" w:hAnsi="Times New Roman"/>
                <w:sz w:val="24"/>
                <w:szCs w:val="24"/>
              </w:rPr>
              <w:t xml:space="preserve"> Космічні та геоінформаційні системи: Навчальний посібник. – Ніжин: НДУ ім. М.Гоголя, 2016. – 376 с.</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 xml:space="preserve">Геоінформаційні системи і бази даних. Лабораторний практикум / Беленок В. Ю., </w:t>
            </w:r>
            <w:r>
              <w:rPr>
                <w:rFonts w:cs="Times New Roman" w:ascii="Times New Roman" w:hAnsi="Times New Roman"/>
                <w:b w:val="false"/>
                <w:bCs w:val="false"/>
                <w:sz w:val="24"/>
                <w:szCs w:val="24"/>
              </w:rPr>
              <w:t>Ніколаєнко  О. Є.</w:t>
            </w:r>
            <w:r>
              <w:rPr>
                <w:rFonts w:cs="Times New Roman" w:ascii="Times New Roman" w:hAnsi="Times New Roman"/>
                <w:sz w:val="24"/>
                <w:szCs w:val="24"/>
              </w:rPr>
              <w:t>, Терещенко А. О. – К.: НАУ, 2023. – 96 с.</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Стеклов, В. К., Беркман Л.Н. Нові інформаційні технології: транспортні мережі телекомунікацій - Київ : Техніка, 2004. – 488 с.</w:t>
            </w:r>
          </w:p>
        </w:tc>
      </w:tr>
      <w:tr>
        <w:trPr>
          <w:trHeight w:val="695"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Локація та матеріально-технічне забезпечення</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комп’ютерний клас, проектор</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Семестровий контроль, екзаменаційна методика</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залік, тестування</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rPr>
                <w:rFonts w:ascii="Times New Roman" w:hAnsi="Times New Roman" w:cs="Times New Roman"/>
                <w:b/>
                <w:sz w:val="24"/>
                <w:szCs w:val="24"/>
              </w:rPr>
            </w:pPr>
            <w:r>
              <w:rPr>
                <w:rFonts w:cs="Times New Roman" w:ascii="Times New Roman" w:hAnsi="Times New Roman"/>
                <w:b/>
                <w:sz w:val="24"/>
                <w:szCs w:val="24"/>
              </w:rPr>
              <w:t>Кафедра</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highlight w:val="yellow"/>
                <w:shd w:fill="FFFFFF" w:val="clear"/>
              </w:rPr>
            </w:pPr>
            <w:r>
              <w:rPr>
                <w:rFonts w:cs="Times New Roman" w:ascii="Times New Roman" w:hAnsi="Times New Roman"/>
                <w:color w:val="000000"/>
                <w:sz w:val="24"/>
                <w:szCs w:val="24"/>
                <w:shd w:fill="FFFFFF" w:val="clear"/>
              </w:rPr>
              <w:t>Кафедра</w:t>
            </w: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z w:val="24"/>
                <w:szCs w:val="24"/>
                <w:shd w:fill="FFFFFF" w:val="clear"/>
              </w:rPr>
              <w:t>аерокосмічної геодезії та землеустрою</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rPr>
                <w:rFonts w:ascii="Times New Roman" w:hAnsi="Times New Roman" w:cs="Times New Roman"/>
                <w:b/>
                <w:sz w:val="24"/>
                <w:szCs w:val="24"/>
              </w:rPr>
            </w:pPr>
            <w:r>
              <w:rPr>
                <w:rFonts w:cs="Times New Roman" w:ascii="Times New Roman" w:hAnsi="Times New Roman"/>
                <w:b/>
                <w:sz w:val="24"/>
                <w:szCs w:val="24"/>
              </w:rPr>
              <w:t>Факультет</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Факультет наземних споруд і аеродромів</w:t>
            </w:r>
          </w:p>
        </w:tc>
      </w:tr>
      <w:tr>
        <w:trPr>
          <w:trHeight w:val="1959"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160"/>
              <w:rPr>
                <w:rFonts w:ascii="Times New Roman" w:hAnsi="Times New Roman" w:cs="Times New Roman"/>
                <w:b/>
                <w:sz w:val="24"/>
                <w:szCs w:val="24"/>
              </w:rPr>
            </w:pPr>
            <w:r>
              <w:rPr>
                <w:rFonts w:cs="Times New Roman" w:ascii="Times New Roman" w:hAnsi="Times New Roman"/>
                <w:b/>
                <w:sz w:val="24"/>
                <w:szCs w:val="24"/>
              </w:rPr>
              <w:t>Викладач(і)</w:t>
            </w:r>
          </w:p>
        </w:tc>
        <w:tc>
          <w:tcPr>
            <w:tcW w:w="2690" w:type="dxa"/>
            <w:tcBorders>
              <w:top w:val="single" w:sz="4" w:space="0" w:color="000000"/>
              <w:left w:val="single" w:sz="4" w:space="0" w:color="000000"/>
              <w:bottom w:val="single" w:sz="4" w:space="0" w:color="000000"/>
            </w:tcBorders>
          </w:tcPr>
          <w:p>
            <w:pPr>
              <w:pStyle w:val="Normal"/>
              <w:widowControl w:val="false"/>
              <w:spacing w:before="0" w:after="160"/>
              <w:rPr>
                <w:b/>
                <w:color w:val="000000"/>
              </w:rPr>
            </w:pPr>
            <w:r>
              <w:rPr>
                <w:b/>
                <w:color w:val="000000"/>
              </w:rPr>
              <mc:AlternateContent>
                <mc:Choice Requires="wps">
                  <w:drawing>
                    <wp:anchor behindDoc="0" distT="0" distB="0" distL="0" distR="36195" simplePos="0" locked="0" layoutInCell="1" allowOverlap="1" relativeHeight="3">
                      <wp:simplePos x="0" y="0"/>
                      <wp:positionH relativeFrom="column">
                        <wp:posOffset>-49530</wp:posOffset>
                      </wp:positionH>
                      <wp:positionV relativeFrom="paragraph">
                        <wp:posOffset>9525</wp:posOffset>
                      </wp:positionV>
                      <wp:extent cx="1667510" cy="1908810"/>
                      <wp:effectExtent l="0" t="0" r="0" b="0"/>
                      <wp:wrapSquare wrapText="bothSides"/>
                      <wp:docPr id="2" name="Image1"/>
                      <a:graphic xmlns:a="http://schemas.openxmlformats.org/drawingml/2006/main">
                        <a:graphicData uri="http://schemas.openxmlformats.org/drawingml/2006/picture">
                          <pic:pic xmlns:pic="http://schemas.openxmlformats.org/drawingml/2006/picture">
                            <pic:nvPicPr>
                              <pic:cNvPr id="3" name="Image1" descr=""/>
                              <pic:cNvPicPr/>
                            </pic:nvPicPr>
                            <pic:blipFill>
                              <a:blip r:embed="rId3"/>
                              <a:stretch/>
                            </pic:blipFill>
                            <pic:spPr>
                              <a:xfrm>
                                <a:off x="0" y="0"/>
                                <a:ext cx="1667520" cy="19087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 stroked="f" o:allowincell="t" style="position:absolute;margin-left:-3.9pt;margin-top:0.75pt;width:131.25pt;height:150.25pt;mso-wrap-style:none;v-text-anchor:middle" type="_x0000_t75">
                      <v:imagedata r:id="rId4" o:detectmouseclick="t"/>
                      <v:stroke color="#3465a4" joinstyle="round" endcap="flat"/>
                      <w10:wrap type="square"/>
                    </v:shape>
                  </w:pict>
                </mc:Fallback>
              </mc:AlternateContent>
            </w:r>
          </w:p>
        </w:tc>
        <w:tc>
          <w:tcPr>
            <w:tcW w:w="4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ВЕЛИКОДСЬКИЙ ЮРІЙ ІВАНОВИЧ</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Посада: </w:t>
            </w:r>
            <w:r>
              <w:rPr>
                <w:rFonts w:ascii="Times New Roman" w:hAnsi="Times New Roman"/>
                <w:sz w:val="24"/>
                <w:szCs w:val="24"/>
                <w:lang w:bidi="hi-IN"/>
              </w:rPr>
              <w:t>завідувач кафедри</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Вчене звання: </w:t>
            </w:r>
            <w:r>
              <w:rPr>
                <w:rFonts w:ascii="Times New Roman" w:hAnsi="Times New Roman"/>
                <w:sz w:val="24"/>
                <w:szCs w:val="24"/>
                <w:lang w:bidi="hi-IN"/>
              </w:rPr>
              <w:t>старший дослідник</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Науковий ступінь: </w:t>
            </w:r>
            <w:r>
              <w:rPr>
                <w:rFonts w:ascii="Times New Roman" w:hAnsi="Times New Roman"/>
                <w:sz w:val="24"/>
                <w:szCs w:val="24"/>
                <w:lang w:bidi="hi-IN"/>
              </w:rPr>
              <w:t>кандидат фізико-математичних наук</w:t>
            </w:r>
          </w:p>
          <w:p>
            <w:pPr>
              <w:pStyle w:val="Normal"/>
              <w:widowControl w:val="false"/>
              <w:spacing w:lineRule="auto" w:line="240" w:before="0" w:after="0"/>
              <w:rPr/>
            </w:pPr>
            <w:r>
              <w:rPr>
                <w:rFonts w:ascii="Times New Roman" w:hAnsi="Times New Roman"/>
                <w:b/>
                <w:sz w:val="24"/>
                <w:szCs w:val="24"/>
                <w:lang w:bidi="hi-IN"/>
              </w:rPr>
              <w:t xml:space="preserve">Профайл викладача: </w:t>
            </w:r>
            <w:hyperlink r:id="rId5">
              <w:r>
                <w:rPr>
                  <w:rStyle w:val="Hyperlink"/>
                  <w:rFonts w:ascii="Times New Roman" w:hAnsi="Times New Roman"/>
                  <w:b/>
                  <w:i/>
                  <w:color w:val="1F497D"/>
                  <w:sz w:val="24"/>
                  <w:szCs w:val="24"/>
                  <w:lang w:bidi="hi-IN"/>
                </w:rPr>
                <w:t>https://scholar.google.com.ua/citations?user=vS0aY14AAAAJ&amp;hl=ru</w:t>
              </w:r>
            </w:hyperlink>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Тел.: </w:t>
            </w:r>
            <w:r>
              <w:rPr>
                <w:rFonts w:ascii="Times New Roman" w:hAnsi="Times New Roman"/>
                <w:sz w:val="24"/>
                <w:szCs w:val="24"/>
                <w:lang w:bidi="hi-IN"/>
              </w:rPr>
              <w:t>(044) 406-79-95</w:t>
            </w:r>
          </w:p>
          <w:p>
            <w:pPr>
              <w:pStyle w:val="Normal"/>
              <w:widowControl w:val="false"/>
              <w:spacing w:lineRule="auto" w:line="240" w:before="0" w:after="0"/>
              <w:rPr/>
            </w:pPr>
            <w:r>
              <w:rPr>
                <w:rFonts w:ascii="Times New Roman" w:hAnsi="Times New Roman"/>
                <w:b/>
                <w:sz w:val="24"/>
                <w:szCs w:val="24"/>
                <w:lang w:bidi="hi-IN"/>
              </w:rPr>
              <w:t xml:space="preserve">E-mail: </w:t>
            </w:r>
            <w:hyperlink r:id="rId6">
              <w:r>
                <w:rPr>
                  <w:rStyle w:val="Hyperlink"/>
                  <w:rFonts w:ascii="Times New Roman" w:hAnsi="Times New Roman"/>
                  <w:i/>
                  <w:sz w:val="24"/>
                  <w:szCs w:val="24"/>
                  <w:lang w:bidi="hi-IN"/>
                </w:rPr>
                <w:t>yurii.velykodskyi@npp.nau.edu.ua</w:t>
              </w:r>
            </w:hyperlink>
          </w:p>
          <w:p>
            <w:pPr>
              <w:pStyle w:val="Normal"/>
              <w:widowControl w:val="false"/>
              <w:spacing w:lineRule="auto" w:line="240" w:before="0" w:after="0"/>
              <w:rPr>
                <w:rFonts w:ascii="Times New Roman" w:hAnsi="Times New Roman"/>
                <w:sz w:val="24"/>
                <w:szCs w:val="24"/>
              </w:rPr>
            </w:pPr>
            <w:r>
              <w:rPr>
                <w:rFonts w:ascii="Times New Roman" w:hAnsi="Times New Roman"/>
                <w:b/>
                <w:color w:val="000000"/>
                <w:sz w:val="24"/>
                <w:szCs w:val="24"/>
                <w:shd w:fill="FFFFFF" w:val="clear"/>
                <w:lang w:bidi="hi-IN"/>
              </w:rPr>
              <w:t>Робоче місце: 3.524</w:t>
            </w:r>
          </w:p>
        </w:tc>
      </w:tr>
      <w:tr>
        <w:trPr>
          <w:trHeight w:val="613"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Оригінальність навчальної дисципліни</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Авторський курс</w:t>
            </w:r>
          </w:p>
        </w:tc>
      </w:tr>
      <w:tr>
        <w:trPr>
          <w:trHeight w:val="918"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Лінк на дисципліну</w:t>
            </w:r>
          </w:p>
        </w:tc>
        <w:tc>
          <w:tcPr>
            <w:tcW w:w="7443" w:type="dxa"/>
            <w:gridSpan w:val="2"/>
            <w:tcBorders>
              <w:top w:val="single" w:sz="4" w:space="0" w:color="000000"/>
              <w:left w:val="single" w:sz="4" w:space="0" w:color="000000"/>
              <w:bottom w:val="single" w:sz="4" w:space="0" w:color="000000"/>
              <w:right w:val="single" w:sz="4" w:space="0" w:color="000000"/>
            </w:tcBorders>
          </w:tcPr>
          <w:p>
            <w:pPr>
              <w:pStyle w:val="Heading1"/>
              <w:numPr>
                <w:ilvl w:val="0"/>
                <w:numId w:val="1"/>
              </w:numPr>
              <w:shd w:val="clear" w:fill="FFFFFF"/>
              <w:snapToGrid w:val="false"/>
              <w:spacing w:before="0" w:after="0"/>
              <w:ind w:hanging="0" w:left="0"/>
              <w:rPr>
                <w:rFonts w:ascii="Times New Roman" w:hAnsi="Times New Roman" w:cs="Times New Roman"/>
                <w:b w:val="false"/>
                <w:i/>
                <w:i/>
                <w:color w:val="000000"/>
                <w:sz w:val="24"/>
                <w:szCs w:val="24"/>
                <w:shd w:fill="FFFFFF" w:val="clear"/>
                <w:lang w:val="uk-UA"/>
              </w:rPr>
            </w:pPr>
            <w:r>
              <w:rPr>
                <w:rFonts w:cs="Times New Roman"/>
                <w:b w:val="false"/>
                <w:i/>
                <w:color w:val="000000"/>
                <w:sz w:val="24"/>
                <w:szCs w:val="24"/>
                <w:shd w:fill="FFFFFF" w:val="clear"/>
                <w:lang w:val="uk-UA"/>
              </w:rPr>
            </w:r>
          </w:p>
        </w:tc>
      </w:tr>
    </w:tbl>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Гарант освітньо-професійної</w:t>
      </w:r>
      <w:r>
        <w:rPr>
          <w:sz w:val="28"/>
          <w:szCs w:val="28"/>
        </w:rPr>
        <w:t xml:space="preserve"> </w:t>
      </w:r>
      <w:r>
        <w:rPr>
          <w:rFonts w:cs="Times New Roman" w:ascii="Times New Roman" w:hAnsi="Times New Roman"/>
          <w:color w:val="000000"/>
          <w:sz w:val="24"/>
          <w:szCs w:val="24"/>
          <w:shd w:fill="FFFFFF" w:val="clear"/>
        </w:rPr>
        <w:t>програми</w:t>
        <w:tab/>
        <w:tab/>
        <w:tab/>
        <w:tab/>
        <w:t>Вадим БЕЛЕНОК</w:t>
      </w:r>
    </w:p>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ind w:left="284" w:right="0"/>
        <w:jc w:val="both"/>
        <w:rPr/>
      </w:pPr>
      <w:r>
        <w:rPr>
          <w:rFonts w:cs="Times New Roman" w:ascii="Times New Roman" w:hAnsi="Times New Roman"/>
          <w:color w:val="000000"/>
          <w:sz w:val="24"/>
          <w:szCs w:val="24"/>
          <w:shd w:fill="FFFFFF" w:val="clear"/>
        </w:rPr>
        <w:t>Розробник</w:t>
        <w:tab/>
        <w:tab/>
        <w:tab/>
        <w:tab/>
        <w:tab/>
        <w:tab/>
        <w:tab/>
        <w:tab/>
        <w:tab/>
      </w:r>
      <w:r>
        <w:rPr>
          <w:rFonts w:cs="Times New Roman" w:ascii="Times New Roman" w:hAnsi="Times New Roman"/>
          <w:color w:val="000000"/>
          <w:sz w:val="24"/>
          <w:szCs w:val="24"/>
          <w:shd w:fill="FFFFFF" w:val="clear"/>
        </w:rPr>
        <w:t>Юрій ВЕЛИКОДСЬКИЙ</w:t>
      </w:r>
    </w:p>
    <w:sectPr>
      <w:type w:val="nextPage"/>
      <w:pgSz w:w="11906" w:h="16838"/>
      <w:pgMar w:left="1134"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sz w:val="24"/>
        <w:i w:val="false"/>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Noto Sans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auto"/>
      <w:kern w:val="0"/>
      <w:sz w:val="22"/>
      <w:szCs w:val="22"/>
      <w:lang w:val="uk-UA" w:eastAsia="zh-CN" w:bidi="ar-SA"/>
    </w:rPr>
  </w:style>
  <w:style w:type="paragraph" w:styleId="Heading1">
    <w:name w:val="Heading 1"/>
    <w:basedOn w:val="Normal"/>
    <w:next w:val="BodyText"/>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character" w:styleId="WW8Num1z0">
    <w:name w:val="WW8Num1z0"/>
    <w:qFormat/>
    <w:rPr>
      <w:rFonts w:ascii="Times New Roman" w:hAnsi="Times New Roman" w:cs="Times New Roman"/>
      <w:i w:val="false"/>
      <w:sz w:val="24"/>
      <w:szCs w:val="24"/>
    </w:rPr>
  </w:style>
  <w:style w:type="character" w:styleId="WW8Num1z2">
    <w:name w:val="WW8Num1z2"/>
    <w:qFormat/>
    <w:rPr>
      <w:rFonts w:cs="Times New Roman"/>
    </w:rPr>
  </w:style>
  <w:style w:type="character" w:styleId="WW8Num1z3">
    <w:name w:val="WW8Num1z3"/>
    <w:qFormat/>
    <w:rPr>
      <w:i w:val="false"/>
    </w:rPr>
  </w:style>
  <w:style w:type="character" w:styleId="WW8Num2z0">
    <w:name w:val="WW8Num2z0"/>
    <w:qFormat/>
    <w:rPr>
      <w:rFonts w:ascii="Symbol" w:hAnsi="Symbol" w:cs="Symbol"/>
    </w:rPr>
  </w:style>
  <w:style w:type="character" w:styleId="WW8Num2z1">
    <w:name w:val="WW8Num2z1"/>
    <w:qFormat/>
    <w:rPr>
      <w:rFonts w:cs="Times New Roman"/>
    </w:rPr>
  </w:style>
  <w:style w:type="character" w:styleId="WW8Num3z0">
    <w:name w:val="WW8Num3z0"/>
    <w:qFormat/>
    <w:rPr>
      <w:lang w:val="uk-UA"/>
    </w:rPr>
  </w:style>
  <w:style w:type="character" w:styleId="Style13">
    <w:name w:val="Основной шрифт абзаца"/>
    <w:qFormat/>
    <w:rPr/>
  </w:style>
  <w:style w:type="character" w:styleId="1">
    <w:name w:val="Заголовок 1 Знак"/>
    <w:qFormat/>
    <w:rPr>
      <w:rFonts w:ascii="Times New Roman" w:hAnsi="Times New Roman" w:cs="Times New Roman"/>
      <w:b/>
      <w:bCs/>
      <w:kern w:val="2"/>
      <w:sz w:val="48"/>
      <w:szCs w:val="48"/>
      <w:lang w:val="uk-UA"/>
    </w:rPr>
  </w:style>
  <w:style w:type="character" w:styleId="Emphasis">
    <w:name w:val="Emphasis"/>
    <w:qFormat/>
    <w:rPr>
      <w:rFonts w:cs="Times New Roman"/>
      <w:i/>
      <w:iCs/>
    </w:rPr>
  </w:style>
  <w:style w:type="character" w:styleId="Style14">
    <w:name w:val="Текст выноски Знак"/>
    <w:qFormat/>
    <w:rPr>
      <w:rFonts w:ascii="Tahoma" w:hAnsi="Tahoma" w:cs="Tahoma"/>
      <w:sz w:val="16"/>
      <w:szCs w:val="16"/>
      <w:lang w:val="uk-UA"/>
    </w:rPr>
  </w:style>
  <w:style w:type="character" w:styleId="Hyperlink">
    <w:name w:val="Hyperlink"/>
    <w:rPr>
      <w:rFonts w:cs="Times New Roman"/>
      <w:color w:val="0000FF"/>
      <w:u w:val="single"/>
    </w:rPr>
  </w:style>
  <w:style w:type="character" w:styleId="NumberingSymbols">
    <w:name w:val="Numbering Symbols"/>
    <w:qFormat/>
    <w:rPr/>
  </w:style>
  <w:style w:type="character" w:styleId="FollowedHyperlink">
    <w:name w:val="FollowedHyperlink"/>
    <w:rPr>
      <w:color w:val="800000"/>
      <w:u w:val="single"/>
    </w:rPr>
  </w:style>
  <w:style w:type="paragraph" w:styleId="Heading">
    <w:name w:val="Heading"/>
    <w:basedOn w:val="Normal"/>
    <w:next w:val="BodyText"/>
    <w:qFormat/>
    <w:pPr>
      <w:keepNext w:val="true"/>
      <w:spacing w:before="240" w:after="120"/>
    </w:pPr>
    <w:rPr>
      <w:rFonts w:ascii="Liberation Sans" w:hAnsi="Liberation Sans" w:eastAsia="Microsoft YaHei"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5">
    <w:name w:val="Текст выноски"/>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160"/>
      <w:ind w:hanging="0" w:left="720" w:right="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hyperlink" Target="https://scholar.google.com.ua/citations?user=vS0aY14AAAAJ&amp;hl=ru" TargetMode="External"/><Relationship Id="rId6" Type="http://schemas.openxmlformats.org/officeDocument/2006/relationships/hyperlink" Target="mailto:yurii.velykodskyi@npp.nau.edu.u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83</TotalTime>
  <Application>LibreOffice/7.6.4.1$Linux_X86_64 LibreOffice_project/60$Build-1</Application>
  <AppVersion>15.0000</AppVersion>
  <Pages>3</Pages>
  <Words>585</Words>
  <Characters>4341</Characters>
  <CharactersWithSpaces>4873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2020-05-29T12:44:00Z</dcterms:created>
  <dc:creator>RePack by Diakov</dc:creator>
  <dc:description/>
  <dc:language>uk-UA</dc:language>
  <cp:lastModifiedBy>Yuri Velikodsky</cp:lastModifiedBy>
  <cp:lastPrinted>2020-05-19T23:29:00Z</cp:lastPrinted>
  <dcterms:modified xsi:type="dcterms:W3CDTF">2024-02-01T01:13:01Z</dcterms:modified>
  <cp:revision>38</cp:revision>
  <dc:subject/>
  <dc:title> (Ф 21</dc:title>
</cp:coreProperties>
</file>

<file path=docProps/custom.xml><?xml version="1.0" encoding="utf-8"?>
<Properties xmlns="http://schemas.openxmlformats.org/officeDocument/2006/custom-properties" xmlns:vt="http://schemas.openxmlformats.org/officeDocument/2006/docPropsVTypes"/>
</file>